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5681F" w14:textId="08BA696B" w:rsidR="00FD0807" w:rsidRPr="00C306B3" w:rsidRDefault="00FD0807" w:rsidP="00FD0807">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C306B3">
        <w:rPr>
          <w:b/>
          <w:sz w:val="24"/>
          <w:szCs w:val="24"/>
        </w:rPr>
        <w:t>3GPP TSG-RAN WG4 Meeting #106bis-e</w:t>
      </w:r>
      <w:r w:rsidRPr="00C306B3">
        <w:rPr>
          <w:b/>
          <w:sz w:val="24"/>
          <w:szCs w:val="24"/>
        </w:rPr>
        <w:tab/>
        <w:t>R4-23</w:t>
      </w:r>
      <w:r w:rsidR="00E22227">
        <w:rPr>
          <w:b/>
          <w:sz w:val="24"/>
          <w:szCs w:val="24"/>
        </w:rPr>
        <w:t>04246</w:t>
      </w:r>
    </w:p>
    <w:p w14:paraId="6538381D" w14:textId="77777777" w:rsidR="00FD0807" w:rsidRPr="00C306B3" w:rsidRDefault="00FD0807" w:rsidP="00FD0807">
      <w:pPr>
        <w:pStyle w:val="CRCoverPage"/>
        <w:outlineLvl w:val="0"/>
        <w:rPr>
          <w:rFonts w:ascii="Times New Roman" w:eastAsia="MS Mincho" w:hAnsi="Times New Roman"/>
          <w:b/>
          <w:sz w:val="24"/>
          <w:szCs w:val="24"/>
          <w:lang w:val="en-US"/>
        </w:rPr>
      </w:pPr>
      <w:r w:rsidRPr="00C306B3">
        <w:rPr>
          <w:rFonts w:ascii="Times New Roman" w:eastAsia="MS Mincho" w:hAnsi="Times New Roman"/>
          <w:b/>
          <w:sz w:val="24"/>
          <w:szCs w:val="24"/>
          <w:lang w:val="en-US"/>
        </w:rPr>
        <w:t>E-meeting, April 17 – April 26, 2023</w:t>
      </w:r>
    </w:p>
    <w:p w14:paraId="0106A948" w14:textId="77777777" w:rsidR="00B33BF4" w:rsidRPr="00C306B3" w:rsidRDefault="00B33BF4" w:rsidP="00B33BF4">
      <w:pPr>
        <w:ind w:left="1985" w:hanging="1985"/>
        <w:rPr>
          <w:rFonts w:ascii="Times New Roman" w:hAnsi="Times New Roman"/>
          <w:b/>
          <w:bCs/>
          <w:sz w:val="24"/>
        </w:rPr>
      </w:pPr>
    </w:p>
    <w:p w14:paraId="7798EFD1" w14:textId="470F776C" w:rsidR="00B33BF4" w:rsidRPr="00C306B3" w:rsidRDefault="00B33BF4" w:rsidP="00B33BF4">
      <w:pPr>
        <w:ind w:left="1985" w:hanging="1985"/>
        <w:rPr>
          <w:rFonts w:ascii="Times New Roman" w:hAnsi="Times New Roman"/>
          <w:b/>
          <w:bCs/>
          <w:sz w:val="24"/>
        </w:rPr>
      </w:pPr>
      <w:r w:rsidRPr="00C306B3">
        <w:rPr>
          <w:rFonts w:ascii="Times New Roman" w:hAnsi="Times New Roman"/>
          <w:b/>
          <w:bCs/>
          <w:sz w:val="24"/>
        </w:rPr>
        <w:t>Agenda Item:</w:t>
      </w:r>
      <w:r w:rsidRPr="00C306B3">
        <w:rPr>
          <w:rFonts w:ascii="Times New Roman" w:hAnsi="Times New Roman"/>
          <w:b/>
          <w:bCs/>
          <w:sz w:val="24"/>
        </w:rPr>
        <w:tab/>
      </w:r>
      <w:bookmarkStart w:id="2" w:name="Source"/>
      <w:bookmarkEnd w:id="2"/>
      <w:r w:rsidR="00CD79BB" w:rsidRPr="00C306B3">
        <w:rPr>
          <w:rFonts w:ascii="Times New Roman" w:hAnsi="Times New Roman"/>
          <w:b/>
          <w:bCs/>
          <w:sz w:val="24"/>
        </w:rPr>
        <w:t>5</w:t>
      </w:r>
      <w:r w:rsidR="00422DC5" w:rsidRPr="00C306B3">
        <w:rPr>
          <w:rFonts w:ascii="Times New Roman" w:hAnsi="Times New Roman"/>
          <w:b/>
          <w:bCs/>
          <w:sz w:val="24"/>
        </w:rPr>
        <w:t>.8.3.5</w:t>
      </w:r>
    </w:p>
    <w:p w14:paraId="41351BC3" w14:textId="77777777" w:rsidR="00B33BF4" w:rsidRPr="00C306B3" w:rsidRDefault="00B33BF4" w:rsidP="00B33BF4">
      <w:pPr>
        <w:ind w:left="1985" w:hanging="1985"/>
        <w:rPr>
          <w:rFonts w:ascii="Times New Roman" w:hAnsi="Times New Roman"/>
          <w:b/>
          <w:bCs/>
          <w:sz w:val="24"/>
        </w:rPr>
      </w:pPr>
      <w:r w:rsidRPr="00C306B3">
        <w:rPr>
          <w:rFonts w:ascii="Times New Roman" w:hAnsi="Times New Roman"/>
          <w:b/>
          <w:bCs/>
          <w:sz w:val="24"/>
        </w:rPr>
        <w:t>Source:</w:t>
      </w:r>
      <w:r w:rsidRPr="00C306B3">
        <w:rPr>
          <w:rFonts w:ascii="Times New Roman" w:hAnsi="Times New Roman"/>
          <w:b/>
          <w:bCs/>
          <w:sz w:val="24"/>
        </w:rPr>
        <w:tab/>
        <w:t xml:space="preserve">Intel Corporation </w:t>
      </w:r>
    </w:p>
    <w:p w14:paraId="2D76F05E" w14:textId="37A2B9EC" w:rsidR="00B33BF4" w:rsidRPr="00C306B3" w:rsidRDefault="00B33BF4" w:rsidP="00B33BF4">
      <w:pPr>
        <w:ind w:left="1985" w:hanging="1985"/>
        <w:rPr>
          <w:rFonts w:ascii="Times New Roman" w:hAnsi="Times New Roman"/>
          <w:b/>
          <w:bCs/>
          <w:sz w:val="24"/>
        </w:rPr>
      </w:pPr>
      <w:r w:rsidRPr="00C306B3">
        <w:rPr>
          <w:rFonts w:ascii="Times New Roman" w:hAnsi="Times New Roman"/>
          <w:b/>
          <w:bCs/>
          <w:sz w:val="24"/>
        </w:rPr>
        <w:t>Title:</w:t>
      </w:r>
      <w:r w:rsidRPr="00C306B3">
        <w:rPr>
          <w:rFonts w:ascii="Times New Roman" w:hAnsi="Times New Roman"/>
          <w:b/>
          <w:bCs/>
          <w:sz w:val="24"/>
        </w:rPr>
        <w:tab/>
        <w:t xml:space="preserve">Discussion on TCI activation for </w:t>
      </w:r>
      <w:proofErr w:type="gramStart"/>
      <w:r w:rsidRPr="00C306B3">
        <w:rPr>
          <w:rFonts w:ascii="Times New Roman" w:hAnsi="Times New Roman"/>
          <w:b/>
          <w:bCs/>
          <w:sz w:val="24"/>
        </w:rPr>
        <w:t>Multi-RX</w:t>
      </w:r>
      <w:proofErr w:type="gramEnd"/>
      <w:r w:rsidRPr="00C306B3">
        <w:rPr>
          <w:rFonts w:ascii="Times New Roman" w:hAnsi="Times New Roman"/>
          <w:b/>
          <w:bCs/>
          <w:sz w:val="24"/>
        </w:rPr>
        <w:t xml:space="preserve"> panel</w:t>
      </w:r>
    </w:p>
    <w:p w14:paraId="46F00889" w14:textId="77777777" w:rsidR="00B33BF4" w:rsidRPr="00C306B3" w:rsidRDefault="00B33BF4" w:rsidP="00B33BF4">
      <w:pPr>
        <w:ind w:left="1985" w:hanging="1985"/>
        <w:rPr>
          <w:rFonts w:ascii="Times New Roman" w:hAnsi="Times New Roman"/>
          <w:b/>
          <w:bCs/>
          <w:sz w:val="24"/>
        </w:rPr>
      </w:pPr>
      <w:r w:rsidRPr="00C306B3">
        <w:rPr>
          <w:rFonts w:ascii="Times New Roman" w:hAnsi="Times New Roman"/>
          <w:b/>
          <w:bCs/>
          <w:sz w:val="24"/>
        </w:rPr>
        <w:t>Document for:</w:t>
      </w:r>
      <w:r w:rsidRPr="00C306B3">
        <w:rPr>
          <w:rFonts w:ascii="Times New Roman" w:hAnsi="Times New Roman"/>
          <w:b/>
          <w:bCs/>
          <w:sz w:val="24"/>
        </w:rPr>
        <w:tab/>
        <w:t>Discussion</w:t>
      </w:r>
    </w:p>
    <w:p w14:paraId="01844711" w14:textId="77777777" w:rsidR="00B33BF4" w:rsidRPr="00C306B3" w:rsidRDefault="00B33BF4" w:rsidP="00B33BF4">
      <w:pPr>
        <w:pStyle w:val="Heading1"/>
        <w:numPr>
          <w:ilvl w:val="0"/>
          <w:numId w:val="1"/>
        </w:numPr>
        <w:rPr>
          <w:rFonts w:ascii="Times New Roman" w:hAnsi="Times New Roman"/>
          <w:lang w:eastAsia="zh-CN"/>
        </w:rPr>
      </w:pPr>
      <w:r w:rsidRPr="00C306B3">
        <w:rPr>
          <w:rFonts w:ascii="Times New Roman" w:hAnsi="Times New Roman"/>
        </w:rPr>
        <w:t>Introduction</w:t>
      </w:r>
    </w:p>
    <w:p w14:paraId="4AA6FBBE" w14:textId="0855327A" w:rsidR="00B33BF4" w:rsidRPr="00C306B3" w:rsidRDefault="00B33BF4" w:rsidP="00B33BF4">
      <w:pPr>
        <w:rPr>
          <w:rFonts w:ascii="Times New Roman" w:hAnsi="Times New Roman"/>
          <w:sz w:val="20"/>
          <w:szCs w:val="20"/>
        </w:rPr>
      </w:pPr>
      <w:r w:rsidRPr="00C306B3">
        <w:rPr>
          <w:rFonts w:ascii="Times New Roman" w:hAnsi="Times New Roman"/>
          <w:sz w:val="20"/>
          <w:szCs w:val="20"/>
        </w:rPr>
        <w:t xml:space="preserve">In last meeting, there are some open issues regarding to </w:t>
      </w:r>
      <w:r w:rsidR="007B6608" w:rsidRPr="00C306B3">
        <w:rPr>
          <w:rFonts w:ascii="Times New Roman" w:hAnsi="Times New Roman"/>
          <w:sz w:val="20"/>
          <w:szCs w:val="20"/>
        </w:rPr>
        <w:t>TCI activation in multi-RX panel</w:t>
      </w:r>
      <w:r w:rsidRPr="00C306B3">
        <w:rPr>
          <w:rFonts w:ascii="Times New Roman" w:hAnsi="Times New Roman"/>
          <w:sz w:val="20"/>
          <w:szCs w:val="20"/>
        </w:rPr>
        <w:t>. We will share our view regarding to these issues:</w:t>
      </w:r>
    </w:p>
    <w:tbl>
      <w:tblPr>
        <w:tblStyle w:val="TableGrid"/>
        <w:tblW w:w="0" w:type="auto"/>
        <w:tblLook w:val="04A0" w:firstRow="1" w:lastRow="0" w:firstColumn="1" w:lastColumn="0" w:noHBand="0" w:noVBand="1"/>
      </w:tblPr>
      <w:tblGrid>
        <w:gridCol w:w="9350"/>
      </w:tblGrid>
      <w:tr w:rsidR="00B33BF4" w:rsidRPr="00C306B3" w14:paraId="7EE5DA8C" w14:textId="77777777" w:rsidTr="007122BE">
        <w:tc>
          <w:tcPr>
            <w:tcW w:w="9350" w:type="dxa"/>
          </w:tcPr>
          <w:p w14:paraId="03147415" w14:textId="2FD6D5C8" w:rsidR="00B33BF4" w:rsidRPr="00C306B3" w:rsidRDefault="004D2EE0" w:rsidP="00B33BF4">
            <w:pPr>
              <w:pStyle w:val="ListParagraph"/>
              <w:numPr>
                <w:ilvl w:val="0"/>
                <w:numId w:val="7"/>
              </w:numPr>
              <w:ind w:firstLineChars="0"/>
              <w:rPr>
                <w:sz w:val="20"/>
                <w:szCs w:val="20"/>
                <w:lang w:val="en-GB" w:eastAsia="en-US"/>
              </w:rPr>
            </w:pPr>
            <w:r w:rsidRPr="00C306B3">
              <w:rPr>
                <w:sz w:val="20"/>
                <w:szCs w:val="20"/>
                <w:lang w:val="en-GB" w:eastAsia="en-US"/>
              </w:rPr>
              <w:t>Scope</w:t>
            </w:r>
          </w:p>
          <w:p w14:paraId="7D1D5AB6" w14:textId="77777777" w:rsidR="00B33BF4" w:rsidRPr="00C306B3" w:rsidRDefault="004D2EE0" w:rsidP="00B33BF4">
            <w:pPr>
              <w:pStyle w:val="ListParagraph"/>
              <w:numPr>
                <w:ilvl w:val="0"/>
                <w:numId w:val="7"/>
              </w:numPr>
              <w:ind w:firstLineChars="0"/>
              <w:rPr>
                <w:sz w:val="20"/>
                <w:szCs w:val="20"/>
                <w:lang w:val="en-GB" w:eastAsia="en-US"/>
              </w:rPr>
            </w:pPr>
            <w:r w:rsidRPr="00C306B3">
              <w:rPr>
                <w:lang w:eastAsia="zh-TW"/>
              </w:rPr>
              <w:t>known and unknown states</w:t>
            </w:r>
          </w:p>
          <w:p w14:paraId="1C119022" w14:textId="77777777" w:rsidR="004D2EE0" w:rsidRPr="00C306B3" w:rsidRDefault="004D2EE0" w:rsidP="00B33BF4">
            <w:pPr>
              <w:pStyle w:val="ListParagraph"/>
              <w:numPr>
                <w:ilvl w:val="0"/>
                <w:numId w:val="7"/>
              </w:numPr>
              <w:ind w:firstLineChars="0"/>
              <w:rPr>
                <w:sz w:val="20"/>
                <w:szCs w:val="20"/>
                <w:lang w:val="en-GB" w:eastAsia="en-US"/>
              </w:rPr>
            </w:pPr>
            <w:r w:rsidRPr="00C306B3">
              <w:rPr>
                <w:lang w:eastAsia="zh-TW"/>
              </w:rPr>
              <w:t>TCI state list update delay</w:t>
            </w:r>
          </w:p>
          <w:p w14:paraId="596B27E1" w14:textId="2B4C5EB4" w:rsidR="004D2EE0" w:rsidRPr="00C306B3" w:rsidRDefault="004D2EE0" w:rsidP="00B33BF4">
            <w:pPr>
              <w:pStyle w:val="ListParagraph"/>
              <w:numPr>
                <w:ilvl w:val="0"/>
                <w:numId w:val="7"/>
              </w:numPr>
              <w:ind w:firstLineChars="0"/>
              <w:rPr>
                <w:sz w:val="20"/>
                <w:szCs w:val="20"/>
                <w:lang w:val="en-GB" w:eastAsia="en-US"/>
              </w:rPr>
            </w:pPr>
            <w:r w:rsidRPr="00C306B3">
              <w:rPr>
                <w:lang w:eastAsia="zh-TW"/>
              </w:rPr>
              <w:t>Total TCI activation delay for simultaneous reception</w:t>
            </w:r>
          </w:p>
        </w:tc>
      </w:tr>
    </w:tbl>
    <w:p w14:paraId="52FE17B5" w14:textId="2A8E5BA3" w:rsidR="00B33BF4" w:rsidRPr="00C306B3" w:rsidRDefault="00B33BF4" w:rsidP="00B33BF4">
      <w:pPr>
        <w:pStyle w:val="Heading1"/>
        <w:numPr>
          <w:ilvl w:val="0"/>
          <w:numId w:val="1"/>
        </w:numPr>
        <w:rPr>
          <w:rFonts w:ascii="Times New Roman" w:hAnsi="Times New Roman"/>
        </w:rPr>
      </w:pPr>
      <w:r w:rsidRPr="00C306B3">
        <w:rPr>
          <w:rFonts w:ascii="Times New Roman" w:hAnsi="Times New Roman"/>
        </w:rPr>
        <w:t>Discussion</w:t>
      </w:r>
    </w:p>
    <w:p w14:paraId="74A743B7" w14:textId="1A48D248" w:rsidR="00B0695D" w:rsidRPr="00C306B3" w:rsidRDefault="00B0695D" w:rsidP="00B0695D">
      <w:pPr>
        <w:pStyle w:val="Heading2"/>
        <w:spacing w:after="120"/>
        <w:rPr>
          <w:rFonts w:ascii="Times New Roman" w:hAnsi="Times New Roman" w:cs="Times New Roman"/>
          <w:lang w:eastAsia="zh-TW"/>
        </w:rPr>
      </w:pPr>
      <w:r w:rsidRPr="00C306B3">
        <w:rPr>
          <w:rFonts w:ascii="Times New Roman" w:hAnsi="Times New Roman" w:cs="Times New Roman"/>
          <w:lang w:eastAsia="zh-TW"/>
        </w:rPr>
        <w:t>2.1 Scope</w:t>
      </w:r>
    </w:p>
    <w:tbl>
      <w:tblPr>
        <w:tblStyle w:val="TableGrid"/>
        <w:tblW w:w="0" w:type="auto"/>
        <w:tblLook w:val="04A0" w:firstRow="1" w:lastRow="0" w:firstColumn="1" w:lastColumn="0" w:noHBand="0" w:noVBand="1"/>
      </w:tblPr>
      <w:tblGrid>
        <w:gridCol w:w="9350"/>
      </w:tblGrid>
      <w:tr w:rsidR="005E60D9" w:rsidRPr="00C306B3" w14:paraId="0321585D" w14:textId="77777777" w:rsidTr="005E60D9">
        <w:tc>
          <w:tcPr>
            <w:tcW w:w="9350" w:type="dxa"/>
          </w:tcPr>
          <w:p w14:paraId="3147A26B" w14:textId="77777777" w:rsidR="005E60D9" w:rsidRPr="00C306B3" w:rsidRDefault="005E60D9" w:rsidP="005E60D9">
            <w:pPr>
              <w:pStyle w:val="ListParagraph"/>
              <w:widowControl/>
              <w:numPr>
                <w:ilvl w:val="1"/>
                <w:numId w:val="17"/>
              </w:numPr>
              <w:overflowPunct w:val="0"/>
              <w:spacing w:after="120" w:line="252" w:lineRule="auto"/>
              <w:ind w:firstLineChars="0"/>
              <w:rPr>
                <w:lang w:eastAsia="ja-JP"/>
              </w:rPr>
            </w:pPr>
            <w:r w:rsidRPr="00C306B3">
              <w:rPr>
                <w:lang w:eastAsia="ja-JP"/>
              </w:rPr>
              <w:t>Investigate and if needed specify requirements for the following TCI state switching scenarios</w:t>
            </w:r>
          </w:p>
          <w:p w14:paraId="242EAEAA" w14:textId="77777777" w:rsidR="005E60D9" w:rsidRPr="00C306B3" w:rsidRDefault="005E60D9" w:rsidP="005E60D9">
            <w:pPr>
              <w:pStyle w:val="ListParagraph"/>
              <w:widowControl/>
              <w:numPr>
                <w:ilvl w:val="2"/>
                <w:numId w:val="17"/>
              </w:numPr>
              <w:overflowPunct w:val="0"/>
              <w:spacing w:after="120" w:line="252" w:lineRule="auto"/>
              <w:ind w:firstLineChars="0"/>
              <w:rPr>
                <w:lang w:eastAsia="ja-JP"/>
              </w:rPr>
            </w:pPr>
            <w:r w:rsidRPr="00C306B3">
              <w:rPr>
                <w:lang w:eastAsia="ja-JP"/>
              </w:rPr>
              <w:t>single TCI to dual TCI</w:t>
            </w:r>
          </w:p>
          <w:p w14:paraId="2DEF830B" w14:textId="77777777" w:rsidR="005E60D9" w:rsidRPr="00C306B3" w:rsidRDefault="005E60D9" w:rsidP="005E60D9">
            <w:pPr>
              <w:pStyle w:val="ListParagraph"/>
              <w:widowControl/>
              <w:numPr>
                <w:ilvl w:val="2"/>
                <w:numId w:val="17"/>
              </w:numPr>
              <w:overflowPunct w:val="0"/>
              <w:spacing w:after="120" w:line="252" w:lineRule="auto"/>
              <w:ind w:firstLineChars="0"/>
              <w:rPr>
                <w:lang w:eastAsia="ja-JP"/>
              </w:rPr>
            </w:pPr>
            <w:r w:rsidRPr="00C306B3">
              <w:rPr>
                <w:lang w:eastAsia="ja-JP"/>
              </w:rPr>
              <w:t>dual TCI to dual TCI</w:t>
            </w:r>
          </w:p>
          <w:p w14:paraId="2015E5E5" w14:textId="69317D08" w:rsidR="005E60D9" w:rsidRPr="00C306B3" w:rsidRDefault="005E60D9" w:rsidP="00B33BF4">
            <w:pPr>
              <w:pStyle w:val="ListParagraph"/>
              <w:widowControl/>
              <w:numPr>
                <w:ilvl w:val="2"/>
                <w:numId w:val="17"/>
              </w:numPr>
              <w:overflowPunct w:val="0"/>
              <w:spacing w:after="120" w:line="252" w:lineRule="auto"/>
              <w:ind w:firstLineChars="0"/>
              <w:rPr>
                <w:lang w:eastAsia="ja-JP"/>
              </w:rPr>
            </w:pPr>
            <w:r w:rsidRPr="00C306B3">
              <w:rPr>
                <w:lang w:eastAsia="ja-JP"/>
              </w:rPr>
              <w:t>dual TCI to single TCI</w:t>
            </w:r>
          </w:p>
        </w:tc>
      </w:tr>
    </w:tbl>
    <w:p w14:paraId="75308A08" w14:textId="77777777" w:rsidR="005E60D9" w:rsidRPr="00C306B3" w:rsidRDefault="005E60D9" w:rsidP="00B33BF4">
      <w:pPr>
        <w:rPr>
          <w:rFonts w:ascii="Times New Roman" w:hAnsi="Times New Roman"/>
          <w:b/>
          <w:bCs/>
          <w:sz w:val="20"/>
          <w:szCs w:val="20"/>
        </w:rPr>
      </w:pPr>
    </w:p>
    <w:p w14:paraId="7D56F3BF" w14:textId="0F52C019" w:rsidR="000E3E8E" w:rsidRPr="00C306B3" w:rsidRDefault="0090380E" w:rsidP="00B33BF4">
      <w:pPr>
        <w:rPr>
          <w:rFonts w:ascii="Times New Roman" w:hAnsi="Times New Roman"/>
          <w:sz w:val="20"/>
          <w:szCs w:val="20"/>
        </w:rPr>
      </w:pPr>
      <w:r w:rsidRPr="00C306B3">
        <w:rPr>
          <w:rFonts w:ascii="Times New Roman" w:hAnsi="Times New Roman"/>
          <w:sz w:val="20"/>
          <w:szCs w:val="20"/>
        </w:rPr>
        <w:t xml:space="preserve">Before dual TCI states are activated, UE may receive from single or two TRPs. </w:t>
      </w:r>
      <w:r w:rsidR="00640EBA" w:rsidRPr="00C306B3">
        <w:rPr>
          <w:rFonts w:ascii="Times New Roman" w:hAnsi="Times New Roman"/>
          <w:sz w:val="20"/>
          <w:szCs w:val="20"/>
        </w:rPr>
        <w:t xml:space="preserve">For TCI state switching for simultaneous reception, the requirement is similar between single TCI to dual TCI and dual TCI to dual TCI. For the two cases, </w:t>
      </w:r>
      <w:r w:rsidR="00E82A60" w:rsidRPr="00C306B3">
        <w:rPr>
          <w:rFonts w:ascii="Times New Roman" w:hAnsi="Times New Roman"/>
          <w:sz w:val="20"/>
          <w:szCs w:val="20"/>
        </w:rPr>
        <w:t xml:space="preserve">dual TCI will be activated. </w:t>
      </w:r>
    </w:p>
    <w:p w14:paraId="1DFD28D1" w14:textId="4E32ADEF" w:rsidR="00086BC6" w:rsidRPr="00C306B3" w:rsidRDefault="0090380E" w:rsidP="00086BC6">
      <w:pPr>
        <w:rPr>
          <w:rFonts w:ascii="Times New Roman" w:hAnsi="Times New Roman"/>
          <w:sz w:val="20"/>
          <w:szCs w:val="20"/>
          <w:lang w:eastAsia="zh-TW"/>
        </w:rPr>
      </w:pPr>
      <w:r w:rsidRPr="00C306B3">
        <w:rPr>
          <w:rFonts w:ascii="Times New Roman" w:hAnsi="Times New Roman"/>
          <w:sz w:val="20"/>
          <w:szCs w:val="20"/>
        </w:rPr>
        <w:t xml:space="preserve">However, we don’t know it’s necessary to consider dual TCI to single TCI </w:t>
      </w:r>
      <w:r w:rsidR="00086BC6" w:rsidRPr="00C306B3">
        <w:rPr>
          <w:rFonts w:ascii="Times New Roman" w:hAnsi="Times New Roman"/>
          <w:sz w:val="20"/>
          <w:szCs w:val="20"/>
        </w:rPr>
        <w:t>case.</w:t>
      </w:r>
      <w:r w:rsidR="00086BC6" w:rsidRPr="00C306B3">
        <w:rPr>
          <w:rFonts w:ascii="Times New Roman" w:hAnsi="Times New Roman"/>
          <w:sz w:val="20"/>
          <w:szCs w:val="20"/>
          <w:lang w:eastAsia="zh-TW"/>
        </w:rPr>
        <w:t xml:space="preserve"> From Dual TCI to single TCI, it means that there will be one TCI state in the command. we think the legacy TCI activation delay has already covered this case.</w:t>
      </w:r>
    </w:p>
    <w:p w14:paraId="644861EE" w14:textId="7F7A06CD" w:rsidR="00B33BF4" w:rsidRPr="00C306B3" w:rsidRDefault="00B33BF4" w:rsidP="00B33BF4">
      <w:pPr>
        <w:rPr>
          <w:rFonts w:ascii="Times New Roman" w:hAnsi="Times New Roman"/>
          <w:b/>
          <w:bCs/>
          <w:sz w:val="20"/>
          <w:szCs w:val="20"/>
        </w:rPr>
      </w:pPr>
      <w:r w:rsidRPr="00C306B3">
        <w:rPr>
          <w:rFonts w:ascii="Times New Roman" w:eastAsiaTheme="minorEastAsia" w:hAnsi="Times New Roman"/>
          <w:b/>
          <w:bCs/>
          <w:sz w:val="20"/>
          <w:szCs w:val="20"/>
        </w:rPr>
        <w:t xml:space="preserve">Proposal </w:t>
      </w:r>
      <w:r w:rsidR="009D6DF2" w:rsidRPr="00C306B3">
        <w:rPr>
          <w:rFonts w:ascii="Times New Roman" w:eastAsiaTheme="minorEastAsia" w:hAnsi="Times New Roman"/>
          <w:b/>
          <w:bCs/>
          <w:sz w:val="20"/>
          <w:szCs w:val="20"/>
        </w:rPr>
        <w:t>1</w:t>
      </w:r>
      <w:r w:rsidRPr="00C306B3">
        <w:rPr>
          <w:rFonts w:ascii="Times New Roman" w:eastAsiaTheme="minorEastAsia" w:hAnsi="Times New Roman"/>
          <w:b/>
          <w:bCs/>
          <w:sz w:val="20"/>
          <w:szCs w:val="20"/>
        </w:rPr>
        <w:t xml:space="preserve">: </w:t>
      </w:r>
      <w:r w:rsidR="00086BC6" w:rsidRPr="00C306B3">
        <w:rPr>
          <w:rFonts w:ascii="Times New Roman" w:eastAsiaTheme="minorEastAsia" w:hAnsi="Times New Roman"/>
          <w:b/>
          <w:bCs/>
          <w:sz w:val="20"/>
          <w:szCs w:val="20"/>
        </w:rPr>
        <w:t xml:space="preserve">Don’t need to consider </w:t>
      </w:r>
      <w:r w:rsidR="00086BC6" w:rsidRPr="00C306B3">
        <w:rPr>
          <w:rFonts w:ascii="Times New Roman" w:hAnsi="Times New Roman"/>
          <w:b/>
          <w:bCs/>
          <w:sz w:val="20"/>
          <w:szCs w:val="20"/>
        </w:rPr>
        <w:t>Dual TCI to Single TCI case</w:t>
      </w:r>
      <w:r w:rsidR="00086BC6" w:rsidRPr="00C306B3">
        <w:rPr>
          <w:rFonts w:ascii="Times New Roman" w:eastAsiaTheme="minorEastAsia" w:hAnsi="Times New Roman"/>
          <w:b/>
          <w:bCs/>
          <w:sz w:val="20"/>
          <w:szCs w:val="20"/>
        </w:rPr>
        <w:t xml:space="preserve"> since </w:t>
      </w:r>
      <w:r w:rsidR="00BC15B4" w:rsidRPr="00C306B3">
        <w:rPr>
          <w:rFonts w:ascii="Times New Roman" w:eastAsiaTheme="minorEastAsia" w:hAnsi="Times New Roman"/>
          <w:b/>
          <w:bCs/>
          <w:sz w:val="20"/>
          <w:szCs w:val="20"/>
        </w:rPr>
        <w:t>L</w:t>
      </w:r>
      <w:r w:rsidRPr="00C306B3">
        <w:rPr>
          <w:rFonts w:ascii="Times New Roman" w:eastAsiaTheme="minorEastAsia" w:hAnsi="Times New Roman"/>
          <w:b/>
          <w:bCs/>
          <w:sz w:val="20"/>
          <w:szCs w:val="20"/>
        </w:rPr>
        <w:t xml:space="preserve">egacy </w:t>
      </w:r>
      <w:r w:rsidRPr="00C306B3">
        <w:rPr>
          <w:rFonts w:ascii="Times New Roman" w:hAnsi="Times New Roman"/>
          <w:b/>
          <w:bCs/>
          <w:sz w:val="20"/>
          <w:szCs w:val="20"/>
          <w:lang w:eastAsia="zh-TW"/>
        </w:rPr>
        <w:t xml:space="preserve">TCI activation </w:t>
      </w:r>
      <w:r w:rsidR="00AC796E" w:rsidRPr="00C306B3">
        <w:rPr>
          <w:rFonts w:ascii="Times New Roman" w:hAnsi="Times New Roman"/>
          <w:b/>
          <w:bCs/>
          <w:sz w:val="20"/>
          <w:szCs w:val="20"/>
          <w:lang w:eastAsia="zh-TW"/>
        </w:rPr>
        <w:t xml:space="preserve">requirement </w:t>
      </w:r>
      <w:r w:rsidRPr="00C306B3">
        <w:rPr>
          <w:rFonts w:ascii="Times New Roman" w:hAnsi="Times New Roman"/>
          <w:b/>
          <w:bCs/>
          <w:sz w:val="20"/>
          <w:szCs w:val="20"/>
          <w:lang w:eastAsia="zh-TW"/>
        </w:rPr>
        <w:t xml:space="preserve">can </w:t>
      </w:r>
      <w:r w:rsidR="00AC796E" w:rsidRPr="00C306B3">
        <w:rPr>
          <w:rFonts w:ascii="Times New Roman" w:hAnsi="Times New Roman"/>
          <w:b/>
          <w:bCs/>
          <w:sz w:val="20"/>
          <w:szCs w:val="20"/>
          <w:lang w:eastAsia="zh-TW"/>
        </w:rPr>
        <w:t>apply</w:t>
      </w:r>
      <w:r w:rsidRPr="00C306B3">
        <w:rPr>
          <w:rFonts w:ascii="Times New Roman" w:hAnsi="Times New Roman"/>
          <w:b/>
          <w:bCs/>
          <w:sz w:val="20"/>
          <w:szCs w:val="20"/>
          <w:lang w:eastAsia="zh-TW"/>
        </w:rPr>
        <w:t xml:space="preserve"> for </w:t>
      </w:r>
      <w:r w:rsidR="00086BC6" w:rsidRPr="00C306B3">
        <w:rPr>
          <w:rFonts w:ascii="Times New Roman" w:hAnsi="Times New Roman"/>
          <w:b/>
          <w:bCs/>
          <w:sz w:val="20"/>
          <w:szCs w:val="20"/>
        </w:rPr>
        <w:t>this case</w:t>
      </w:r>
      <w:r w:rsidRPr="00C306B3">
        <w:rPr>
          <w:rFonts w:ascii="Times New Roman" w:hAnsi="Times New Roman"/>
          <w:b/>
          <w:bCs/>
          <w:sz w:val="20"/>
          <w:szCs w:val="20"/>
        </w:rPr>
        <w:t>.</w:t>
      </w:r>
    </w:p>
    <w:p w14:paraId="67F0D1E0" w14:textId="02FF68B3" w:rsidR="00A22591" w:rsidRPr="00C306B3" w:rsidRDefault="00A22591" w:rsidP="00A22591">
      <w:pPr>
        <w:pStyle w:val="Heading2"/>
        <w:spacing w:after="120"/>
        <w:rPr>
          <w:rFonts w:ascii="Times New Roman" w:hAnsi="Times New Roman" w:cs="Times New Roman"/>
          <w:lang w:eastAsia="zh-TW"/>
        </w:rPr>
      </w:pPr>
      <w:r w:rsidRPr="00C306B3">
        <w:rPr>
          <w:rFonts w:ascii="Times New Roman" w:hAnsi="Times New Roman" w:cs="Times New Roman"/>
          <w:lang w:eastAsia="zh-TW"/>
        </w:rPr>
        <w:lastRenderedPageBreak/>
        <w:t>2.</w:t>
      </w:r>
      <w:r w:rsidR="00B0695D" w:rsidRPr="00C306B3">
        <w:rPr>
          <w:rFonts w:ascii="Times New Roman" w:hAnsi="Times New Roman" w:cs="Times New Roman"/>
          <w:lang w:eastAsia="zh-TW"/>
        </w:rPr>
        <w:t>2</w:t>
      </w:r>
      <w:r w:rsidRPr="00C306B3">
        <w:rPr>
          <w:rFonts w:ascii="Times New Roman" w:hAnsi="Times New Roman" w:cs="Times New Roman"/>
          <w:lang w:eastAsia="zh-TW"/>
        </w:rPr>
        <w:t xml:space="preserve"> known and unknown states</w:t>
      </w:r>
    </w:p>
    <w:tbl>
      <w:tblPr>
        <w:tblStyle w:val="TableGrid"/>
        <w:tblW w:w="0" w:type="auto"/>
        <w:tblLook w:val="04A0" w:firstRow="1" w:lastRow="0" w:firstColumn="1" w:lastColumn="0" w:noHBand="0" w:noVBand="1"/>
      </w:tblPr>
      <w:tblGrid>
        <w:gridCol w:w="9350"/>
      </w:tblGrid>
      <w:tr w:rsidR="00B33BF4" w:rsidRPr="00C306B3" w14:paraId="49BD85BD" w14:textId="77777777" w:rsidTr="007122BE">
        <w:tc>
          <w:tcPr>
            <w:tcW w:w="9350" w:type="dxa"/>
          </w:tcPr>
          <w:p w14:paraId="1A45291E" w14:textId="77777777" w:rsidR="00CE4E61" w:rsidRPr="00C306B3" w:rsidRDefault="00CE4E61" w:rsidP="00CE4E61">
            <w:pPr>
              <w:rPr>
                <w:rFonts w:ascii="Times New Roman" w:hAnsi="Times New Roman"/>
                <w:b/>
                <w:color w:val="0070C0"/>
                <w:u w:val="single"/>
                <w:lang w:eastAsia="ko-KR"/>
              </w:rPr>
            </w:pPr>
            <w:r w:rsidRPr="00C306B3">
              <w:rPr>
                <w:rFonts w:ascii="Times New Roman" w:hAnsi="Times New Roman"/>
                <w:b/>
                <w:color w:val="0070C0"/>
                <w:u w:val="single"/>
                <w:lang w:eastAsia="ko-KR"/>
              </w:rPr>
              <w:t>Issue 2-4: Known/Unknown State Handling</w:t>
            </w:r>
          </w:p>
          <w:p w14:paraId="6A472D67" w14:textId="77777777" w:rsidR="00CE4E61" w:rsidRPr="00C306B3" w:rsidRDefault="00CE4E61" w:rsidP="00CE4E61">
            <w:pPr>
              <w:pStyle w:val="ListParagraph"/>
              <w:widowControl/>
              <w:numPr>
                <w:ilvl w:val="0"/>
                <w:numId w:val="9"/>
              </w:numPr>
              <w:autoSpaceDE/>
              <w:autoSpaceDN/>
              <w:adjustRightInd/>
              <w:spacing w:after="120" w:line="240" w:lineRule="auto"/>
              <w:ind w:left="720" w:firstLineChars="0"/>
              <w:rPr>
                <w:color w:val="0070C0"/>
                <w:szCs w:val="24"/>
                <w:lang w:eastAsia="zh-CN"/>
              </w:rPr>
            </w:pPr>
            <w:r w:rsidRPr="00C306B3">
              <w:rPr>
                <w:color w:val="0070C0"/>
                <w:szCs w:val="24"/>
                <w:lang w:eastAsia="zh-CN"/>
              </w:rPr>
              <w:t>Proposals</w:t>
            </w:r>
          </w:p>
          <w:p w14:paraId="47A5A986" w14:textId="77777777" w:rsidR="00CE4E61" w:rsidRPr="00C306B3" w:rsidRDefault="00CE4E61" w:rsidP="00CE4E61">
            <w:pPr>
              <w:pStyle w:val="ListParagraph"/>
              <w:widowControl/>
              <w:numPr>
                <w:ilvl w:val="1"/>
                <w:numId w:val="9"/>
              </w:numPr>
              <w:autoSpaceDE/>
              <w:autoSpaceDN/>
              <w:adjustRightInd/>
              <w:spacing w:after="120" w:line="240" w:lineRule="auto"/>
              <w:ind w:left="1440" w:firstLineChars="0"/>
              <w:rPr>
                <w:color w:val="0070C0"/>
                <w:szCs w:val="24"/>
                <w:lang w:eastAsia="zh-CN"/>
              </w:rPr>
            </w:pPr>
            <w:r w:rsidRPr="00C306B3">
              <w:rPr>
                <w:color w:val="0070C0"/>
                <w:szCs w:val="24"/>
                <w:lang w:eastAsia="zh-CN"/>
              </w:rPr>
              <w:t>Option 1: Introduce requirements only for known TCI states (discuss separately how to define known)</w:t>
            </w:r>
          </w:p>
          <w:p w14:paraId="3965631B" w14:textId="77777777" w:rsidR="00CE4E61" w:rsidRPr="00C306B3" w:rsidRDefault="00CE4E61" w:rsidP="00CE4E61">
            <w:pPr>
              <w:pStyle w:val="ListParagraph"/>
              <w:widowControl/>
              <w:numPr>
                <w:ilvl w:val="1"/>
                <w:numId w:val="9"/>
              </w:numPr>
              <w:autoSpaceDE/>
              <w:autoSpaceDN/>
              <w:adjustRightInd/>
              <w:spacing w:after="120" w:line="240" w:lineRule="auto"/>
              <w:ind w:left="1440" w:firstLineChars="0"/>
              <w:rPr>
                <w:color w:val="0070C0"/>
                <w:szCs w:val="24"/>
                <w:lang w:eastAsia="zh-CN"/>
              </w:rPr>
            </w:pPr>
            <w:r w:rsidRPr="00C306B3">
              <w:rPr>
                <w:color w:val="0070C0"/>
                <w:szCs w:val="24"/>
                <w:lang w:eastAsia="zh-CN"/>
              </w:rPr>
              <w:t>Option 2: Introduce requirements for both known/unknown(including combinations of known and unknown)</w:t>
            </w:r>
          </w:p>
          <w:p w14:paraId="2007A30E" w14:textId="77777777" w:rsidR="009D6DF2" w:rsidRPr="00C306B3" w:rsidRDefault="009D6DF2" w:rsidP="009D6DF2">
            <w:pPr>
              <w:rPr>
                <w:rFonts w:ascii="Times New Roman" w:hAnsi="Times New Roman"/>
                <w:b/>
                <w:color w:val="0070C0"/>
                <w:u w:val="single"/>
                <w:lang w:eastAsia="ko-KR"/>
              </w:rPr>
            </w:pPr>
            <w:r w:rsidRPr="00C306B3">
              <w:rPr>
                <w:rFonts w:ascii="Times New Roman" w:hAnsi="Times New Roman"/>
                <w:b/>
                <w:color w:val="0070C0"/>
                <w:u w:val="single"/>
                <w:lang w:eastAsia="ko-KR"/>
              </w:rPr>
              <w:t>Issue 2-5: Known TCI state definition for dual TCI</w:t>
            </w:r>
          </w:p>
          <w:p w14:paraId="60070F40" w14:textId="77777777" w:rsidR="009D6DF2" w:rsidRPr="00C306B3" w:rsidRDefault="009D6DF2" w:rsidP="009D6DF2">
            <w:pPr>
              <w:pStyle w:val="ListParagraph"/>
              <w:widowControl/>
              <w:numPr>
                <w:ilvl w:val="0"/>
                <w:numId w:val="9"/>
              </w:numPr>
              <w:autoSpaceDE/>
              <w:autoSpaceDN/>
              <w:adjustRightInd/>
              <w:spacing w:after="120" w:line="240" w:lineRule="auto"/>
              <w:ind w:left="720" w:firstLineChars="0"/>
              <w:rPr>
                <w:color w:val="0070C0"/>
                <w:szCs w:val="24"/>
                <w:lang w:eastAsia="zh-CN"/>
              </w:rPr>
            </w:pPr>
            <w:r w:rsidRPr="00C306B3">
              <w:rPr>
                <w:color w:val="0070C0"/>
                <w:szCs w:val="24"/>
                <w:lang w:eastAsia="zh-CN"/>
              </w:rPr>
              <w:t>Proposals</w:t>
            </w:r>
          </w:p>
          <w:p w14:paraId="09E0E8D0" w14:textId="77777777" w:rsidR="009D6DF2" w:rsidRPr="00C306B3" w:rsidRDefault="009D6DF2" w:rsidP="009D6DF2">
            <w:pPr>
              <w:pStyle w:val="ListParagraph"/>
              <w:widowControl/>
              <w:numPr>
                <w:ilvl w:val="1"/>
                <w:numId w:val="9"/>
              </w:numPr>
              <w:autoSpaceDE/>
              <w:autoSpaceDN/>
              <w:adjustRightInd/>
              <w:spacing w:after="120" w:line="240" w:lineRule="auto"/>
              <w:ind w:left="1440" w:firstLineChars="0"/>
              <w:rPr>
                <w:color w:val="0070C0"/>
                <w:szCs w:val="24"/>
                <w:lang w:eastAsia="zh-CN"/>
              </w:rPr>
            </w:pPr>
            <w:r w:rsidRPr="00C306B3">
              <w:rPr>
                <w:color w:val="0070C0"/>
                <w:szCs w:val="24"/>
                <w:lang w:eastAsia="zh-CN"/>
              </w:rPr>
              <w:t>Option 1: Target TCI state was included in a group report</w:t>
            </w:r>
          </w:p>
          <w:p w14:paraId="14502FE2" w14:textId="77777777" w:rsidR="009D6DF2" w:rsidRPr="00C306B3" w:rsidRDefault="009D6DF2" w:rsidP="009D6DF2">
            <w:pPr>
              <w:pStyle w:val="ListParagraph"/>
              <w:widowControl/>
              <w:numPr>
                <w:ilvl w:val="1"/>
                <w:numId w:val="9"/>
              </w:numPr>
              <w:autoSpaceDE/>
              <w:autoSpaceDN/>
              <w:adjustRightInd/>
              <w:spacing w:after="120" w:line="240" w:lineRule="auto"/>
              <w:ind w:left="1440" w:firstLineChars="0"/>
              <w:rPr>
                <w:color w:val="0070C0"/>
                <w:szCs w:val="24"/>
                <w:lang w:eastAsia="zh-CN"/>
              </w:rPr>
            </w:pPr>
            <w:r w:rsidRPr="00C306B3">
              <w:rPr>
                <w:color w:val="0070C0"/>
                <w:szCs w:val="24"/>
                <w:lang w:eastAsia="zh-CN"/>
              </w:rPr>
              <w:t>Option 2: Target TCI state was reported previously</w:t>
            </w:r>
          </w:p>
          <w:p w14:paraId="6434696E" w14:textId="6349AD0B" w:rsidR="00B33BF4" w:rsidRPr="00C306B3" w:rsidRDefault="009D6DF2" w:rsidP="009D6DF2">
            <w:pPr>
              <w:spacing w:after="120" w:line="240" w:lineRule="auto"/>
              <w:rPr>
                <w:rFonts w:ascii="Times New Roman" w:hAnsi="Times New Roman"/>
              </w:rPr>
            </w:pPr>
            <w:r w:rsidRPr="00C306B3">
              <w:rPr>
                <w:rFonts w:ascii="Times New Roman" w:eastAsia="Yu Mincho" w:hAnsi="Times New Roman"/>
                <w:color w:val="0070C0"/>
                <w:szCs w:val="24"/>
                <w:lang w:eastAsia="ja-JP"/>
              </w:rPr>
              <w:t>Option 3: Other</w:t>
            </w:r>
          </w:p>
        </w:tc>
      </w:tr>
    </w:tbl>
    <w:p w14:paraId="06C08944" w14:textId="6F4AEB40" w:rsidR="00B33BF4" w:rsidRPr="00C306B3" w:rsidRDefault="00B33BF4" w:rsidP="00B33BF4">
      <w:pPr>
        <w:rPr>
          <w:rFonts w:ascii="Times New Roman" w:hAnsi="Times New Roman"/>
          <w:sz w:val="20"/>
          <w:szCs w:val="20"/>
          <w:lang w:eastAsia="zh-TW"/>
        </w:rPr>
      </w:pPr>
    </w:p>
    <w:p w14:paraId="7AC7484B" w14:textId="77777777" w:rsidR="009D6DF2" w:rsidRPr="00C306B3" w:rsidRDefault="00B0695D" w:rsidP="00B33BF4">
      <w:pPr>
        <w:rPr>
          <w:rFonts w:ascii="Times New Roman" w:hAnsi="Times New Roman"/>
          <w:sz w:val="20"/>
          <w:szCs w:val="20"/>
        </w:rPr>
      </w:pPr>
      <w:r w:rsidRPr="00C306B3">
        <w:rPr>
          <w:rFonts w:ascii="Times New Roman" w:hAnsi="Times New Roman"/>
          <w:sz w:val="20"/>
          <w:szCs w:val="20"/>
        </w:rPr>
        <w:t>We prefer option 2. The two TCI states configured for dual TCI activation are known</w:t>
      </w:r>
      <w:r w:rsidR="004F1E2A" w:rsidRPr="00C306B3">
        <w:rPr>
          <w:rFonts w:ascii="Times New Roman" w:hAnsi="Times New Roman"/>
          <w:sz w:val="20"/>
          <w:szCs w:val="20"/>
        </w:rPr>
        <w:t xml:space="preserve"> and they are in </w:t>
      </w:r>
      <w:proofErr w:type="gramStart"/>
      <w:r w:rsidR="004F1E2A" w:rsidRPr="00C306B3">
        <w:rPr>
          <w:rFonts w:ascii="Times New Roman" w:hAnsi="Times New Roman"/>
          <w:sz w:val="20"/>
          <w:szCs w:val="20"/>
        </w:rPr>
        <w:t>group based</w:t>
      </w:r>
      <w:proofErr w:type="gramEnd"/>
      <w:r w:rsidR="004F1E2A" w:rsidRPr="00C306B3">
        <w:rPr>
          <w:rFonts w:ascii="Times New Roman" w:hAnsi="Times New Roman"/>
          <w:sz w:val="20"/>
          <w:szCs w:val="20"/>
        </w:rPr>
        <w:t xml:space="preserve"> reporting. </w:t>
      </w:r>
    </w:p>
    <w:p w14:paraId="4035500F" w14:textId="77777777" w:rsidR="009D6DF2" w:rsidRPr="00C306B3" w:rsidRDefault="009D6DF2" w:rsidP="009D6DF2">
      <w:pPr>
        <w:rPr>
          <w:rFonts w:ascii="Times New Roman" w:hAnsi="Times New Roman"/>
          <w:b/>
          <w:bCs/>
          <w:sz w:val="20"/>
          <w:szCs w:val="20"/>
        </w:rPr>
      </w:pPr>
      <w:r w:rsidRPr="00C306B3">
        <w:rPr>
          <w:rFonts w:ascii="Times New Roman" w:hAnsi="Times New Roman"/>
          <w:sz w:val="20"/>
          <w:szCs w:val="20"/>
        </w:rPr>
        <w:t xml:space="preserve">in L1 report, the Panel ID is transparent, </w:t>
      </w:r>
      <w:proofErr w:type="gramStart"/>
      <w:r w:rsidRPr="00C306B3">
        <w:rPr>
          <w:rFonts w:ascii="Times New Roman" w:hAnsi="Times New Roman"/>
          <w:sz w:val="20"/>
          <w:szCs w:val="20"/>
        </w:rPr>
        <w:t>i.e.</w:t>
      </w:r>
      <w:proofErr w:type="gramEnd"/>
      <w:r w:rsidRPr="00C306B3">
        <w:rPr>
          <w:rFonts w:ascii="Times New Roman" w:hAnsi="Times New Roman"/>
          <w:sz w:val="20"/>
          <w:szCs w:val="20"/>
        </w:rPr>
        <w:t xml:space="preserve"> no Panel ID is associated with beam index. For MAC CE based activation, if the beam pair is not reported before, UE didn’t know which panel will be used and which panel RX beam sweeping will be applied. In that case, UE may need to activate all the panel again. Besides, it may not guarantee that the beam pair can be received simultaneously.</w:t>
      </w:r>
    </w:p>
    <w:p w14:paraId="2F590394" w14:textId="4AF1C0CB" w:rsidR="009D6DF2" w:rsidRPr="00C306B3" w:rsidRDefault="00B33BF4" w:rsidP="009D6DF2">
      <w:pPr>
        <w:rPr>
          <w:rFonts w:ascii="Times New Roman" w:hAnsi="Times New Roman"/>
          <w:sz w:val="20"/>
          <w:szCs w:val="20"/>
        </w:rPr>
      </w:pPr>
      <w:r w:rsidRPr="00C306B3">
        <w:rPr>
          <w:rFonts w:ascii="Times New Roman" w:hAnsi="Times New Roman"/>
          <w:sz w:val="20"/>
          <w:szCs w:val="20"/>
        </w:rPr>
        <w:t>Therefore, we suggest to only consider known case</w:t>
      </w:r>
      <w:r w:rsidR="009D6DF2" w:rsidRPr="00C306B3">
        <w:rPr>
          <w:rFonts w:ascii="Times New Roman" w:hAnsi="Times New Roman"/>
          <w:sz w:val="20"/>
          <w:szCs w:val="20"/>
        </w:rPr>
        <w:t xml:space="preserve"> and the two TCI states configured for dual TCI activation are in </w:t>
      </w:r>
      <w:proofErr w:type="gramStart"/>
      <w:r w:rsidR="009D6DF2" w:rsidRPr="00C306B3">
        <w:rPr>
          <w:rFonts w:ascii="Times New Roman" w:hAnsi="Times New Roman"/>
          <w:sz w:val="20"/>
          <w:szCs w:val="20"/>
        </w:rPr>
        <w:t>group based</w:t>
      </w:r>
      <w:proofErr w:type="gramEnd"/>
      <w:r w:rsidR="009D6DF2" w:rsidRPr="00C306B3">
        <w:rPr>
          <w:rFonts w:ascii="Times New Roman" w:hAnsi="Times New Roman"/>
          <w:sz w:val="20"/>
          <w:szCs w:val="20"/>
        </w:rPr>
        <w:t xml:space="preserve"> reporting. </w:t>
      </w:r>
    </w:p>
    <w:p w14:paraId="36E562EF" w14:textId="5C116D04" w:rsidR="0057215F" w:rsidRPr="00C306B3" w:rsidRDefault="00B33BF4" w:rsidP="00B33BF4">
      <w:pPr>
        <w:rPr>
          <w:rFonts w:ascii="Times New Roman" w:hAnsi="Times New Roman"/>
          <w:b/>
          <w:bCs/>
          <w:sz w:val="20"/>
          <w:szCs w:val="20"/>
          <w:lang w:eastAsia="zh-TW"/>
        </w:rPr>
      </w:pPr>
      <w:r w:rsidRPr="00C306B3">
        <w:rPr>
          <w:rFonts w:ascii="Times New Roman" w:hAnsi="Times New Roman"/>
          <w:b/>
          <w:bCs/>
          <w:sz w:val="20"/>
          <w:szCs w:val="20"/>
          <w:lang w:eastAsia="zh-TW"/>
        </w:rPr>
        <w:t>Proposal</w:t>
      </w:r>
      <w:r w:rsidR="00705817" w:rsidRPr="00C306B3">
        <w:rPr>
          <w:rFonts w:ascii="Times New Roman" w:hAnsi="Times New Roman"/>
          <w:b/>
          <w:bCs/>
          <w:sz w:val="20"/>
          <w:szCs w:val="20"/>
          <w:lang w:eastAsia="zh-TW"/>
        </w:rPr>
        <w:t xml:space="preserve"> </w:t>
      </w:r>
      <w:r w:rsidR="009D6DF2" w:rsidRPr="00C306B3">
        <w:rPr>
          <w:rFonts w:ascii="Times New Roman" w:hAnsi="Times New Roman"/>
          <w:b/>
          <w:bCs/>
          <w:sz w:val="20"/>
          <w:szCs w:val="20"/>
          <w:lang w:eastAsia="zh-TW"/>
        </w:rPr>
        <w:t>2</w:t>
      </w:r>
      <w:r w:rsidRPr="00C306B3">
        <w:rPr>
          <w:rFonts w:ascii="Times New Roman" w:hAnsi="Times New Roman"/>
          <w:b/>
          <w:bCs/>
          <w:sz w:val="20"/>
          <w:szCs w:val="20"/>
          <w:lang w:eastAsia="zh-TW"/>
        </w:rPr>
        <w:t xml:space="preserve">: </w:t>
      </w:r>
      <w:r w:rsidR="0057215F" w:rsidRPr="00C306B3">
        <w:rPr>
          <w:rFonts w:ascii="Times New Roman" w:hAnsi="Times New Roman"/>
          <w:b/>
          <w:bCs/>
          <w:sz w:val="20"/>
          <w:szCs w:val="20"/>
          <w:lang w:eastAsia="zh-TW"/>
        </w:rPr>
        <w:t>Introduce requirement for the case that both TCI states in TCI activation are known.</w:t>
      </w:r>
    </w:p>
    <w:p w14:paraId="01D6BD2E" w14:textId="5E64C28B" w:rsidR="00B33BF4" w:rsidRPr="00C306B3" w:rsidRDefault="0057215F" w:rsidP="00B33BF4">
      <w:pPr>
        <w:rPr>
          <w:rFonts w:ascii="Times New Roman" w:hAnsi="Times New Roman"/>
          <w:b/>
          <w:bCs/>
          <w:sz w:val="20"/>
          <w:szCs w:val="20"/>
          <w:lang w:eastAsia="zh-TW"/>
        </w:rPr>
      </w:pPr>
      <w:r w:rsidRPr="00C306B3">
        <w:rPr>
          <w:rFonts w:ascii="Times New Roman" w:hAnsi="Times New Roman"/>
          <w:b/>
          <w:bCs/>
          <w:sz w:val="20"/>
          <w:szCs w:val="20"/>
          <w:lang w:eastAsia="zh-TW"/>
        </w:rPr>
        <w:t>Proposal 3: The dual TCI activation is known if b</w:t>
      </w:r>
      <w:r w:rsidR="00B33BF4" w:rsidRPr="00C306B3">
        <w:rPr>
          <w:rFonts w:ascii="Times New Roman" w:hAnsi="Times New Roman"/>
          <w:b/>
          <w:bCs/>
          <w:sz w:val="20"/>
          <w:szCs w:val="20"/>
          <w:lang w:eastAsia="zh-TW"/>
        </w:rPr>
        <w:t xml:space="preserve">oth TCI states </w:t>
      </w:r>
      <w:r w:rsidR="009D6DF2" w:rsidRPr="00C306B3">
        <w:rPr>
          <w:rFonts w:ascii="Times New Roman" w:hAnsi="Times New Roman"/>
          <w:b/>
          <w:bCs/>
          <w:sz w:val="20"/>
          <w:szCs w:val="20"/>
          <w:lang w:eastAsia="zh-TW"/>
        </w:rPr>
        <w:t xml:space="preserve">are included in </w:t>
      </w:r>
      <w:proofErr w:type="gramStart"/>
      <w:r w:rsidR="009D6DF2" w:rsidRPr="00C306B3">
        <w:rPr>
          <w:rFonts w:ascii="Times New Roman" w:hAnsi="Times New Roman"/>
          <w:b/>
          <w:bCs/>
          <w:sz w:val="20"/>
          <w:szCs w:val="20"/>
          <w:lang w:eastAsia="zh-TW"/>
        </w:rPr>
        <w:t>group based</w:t>
      </w:r>
      <w:proofErr w:type="gramEnd"/>
      <w:r w:rsidR="009D6DF2" w:rsidRPr="00C306B3">
        <w:rPr>
          <w:rFonts w:ascii="Times New Roman" w:hAnsi="Times New Roman"/>
          <w:b/>
          <w:bCs/>
          <w:sz w:val="20"/>
          <w:szCs w:val="20"/>
          <w:lang w:eastAsia="zh-TW"/>
        </w:rPr>
        <w:t xml:space="preserve"> reporting</w:t>
      </w:r>
      <w:r w:rsidR="00FD5A4C" w:rsidRPr="00C306B3">
        <w:rPr>
          <w:rFonts w:ascii="Times New Roman" w:hAnsi="Times New Roman"/>
          <w:b/>
          <w:bCs/>
          <w:sz w:val="20"/>
          <w:szCs w:val="20"/>
          <w:lang w:eastAsia="zh-TW"/>
        </w:rPr>
        <w:t xml:space="preserve"> which is reported within [x]ms.</w:t>
      </w:r>
    </w:p>
    <w:p w14:paraId="60DF3314" w14:textId="77777777" w:rsidR="00937418" w:rsidRPr="00C306B3" w:rsidRDefault="00937418" w:rsidP="00937418">
      <w:pPr>
        <w:pStyle w:val="0Maintext"/>
        <w:spacing w:after="120" w:afterAutospacing="0" w:line="240" w:lineRule="auto"/>
        <w:ind w:firstLine="0"/>
        <w:rPr>
          <w:rFonts w:cs="Times New Roman"/>
          <w:b/>
          <w:bCs/>
        </w:rPr>
      </w:pPr>
    </w:p>
    <w:p w14:paraId="32B75A3D" w14:textId="28C731DA" w:rsidR="002F24D1" w:rsidRPr="00C306B3" w:rsidRDefault="006208AF" w:rsidP="002C6727">
      <w:pPr>
        <w:pStyle w:val="Heading2"/>
        <w:spacing w:after="120"/>
        <w:rPr>
          <w:rFonts w:ascii="Times New Roman" w:hAnsi="Times New Roman" w:cs="Times New Roman"/>
          <w:lang w:eastAsia="zh-TW"/>
        </w:rPr>
      </w:pPr>
      <w:r w:rsidRPr="00C306B3">
        <w:rPr>
          <w:rFonts w:ascii="Times New Roman" w:hAnsi="Times New Roman" w:cs="Times New Roman"/>
          <w:lang w:eastAsia="zh-TW"/>
        </w:rPr>
        <w:t>2.</w:t>
      </w:r>
      <w:r w:rsidR="00FD5A4C" w:rsidRPr="00C306B3">
        <w:rPr>
          <w:rFonts w:ascii="Times New Roman" w:hAnsi="Times New Roman" w:cs="Times New Roman"/>
          <w:lang w:eastAsia="zh-TW"/>
        </w:rPr>
        <w:t>3</w:t>
      </w:r>
      <w:r w:rsidRPr="00C306B3">
        <w:rPr>
          <w:rFonts w:ascii="Times New Roman" w:hAnsi="Times New Roman" w:cs="Times New Roman"/>
          <w:lang w:eastAsia="zh-TW"/>
        </w:rPr>
        <w:t xml:space="preserve"> </w:t>
      </w:r>
      <w:r w:rsidR="00192AA7" w:rsidRPr="00C306B3">
        <w:rPr>
          <w:rFonts w:ascii="Times New Roman" w:hAnsi="Times New Roman" w:cs="Times New Roman"/>
          <w:lang w:eastAsia="zh-TW"/>
        </w:rPr>
        <w:t>TCI state list update delay</w:t>
      </w:r>
    </w:p>
    <w:p w14:paraId="0A8C1C56" w14:textId="5D8441C2" w:rsidR="00452926" w:rsidRPr="00C306B3" w:rsidRDefault="00452926" w:rsidP="00452926">
      <w:pPr>
        <w:pStyle w:val="BodyText"/>
        <w:rPr>
          <w:rFonts w:ascii="Times New Roman" w:eastAsia="Malgun Gothic" w:hAnsi="Times New Roman" w:cs="Times New Roman"/>
          <w:noProof/>
          <w:sz w:val="20"/>
          <w:szCs w:val="20"/>
        </w:rPr>
      </w:pPr>
      <w:r w:rsidRPr="00C306B3">
        <w:rPr>
          <w:rFonts w:ascii="Times New Roman" w:eastAsia="Malgun Gothic" w:hAnsi="Times New Roman" w:cs="Times New Roman"/>
          <w:noProof/>
          <w:sz w:val="20"/>
          <w:szCs w:val="20"/>
        </w:rPr>
        <w:t>TCI state list update delay in clause 8.10.6 is defined as below:</w:t>
      </w:r>
    </w:p>
    <w:tbl>
      <w:tblPr>
        <w:tblStyle w:val="TableGrid"/>
        <w:tblW w:w="0" w:type="auto"/>
        <w:tblLook w:val="04A0" w:firstRow="1" w:lastRow="0" w:firstColumn="1" w:lastColumn="0" w:noHBand="0" w:noVBand="1"/>
      </w:tblPr>
      <w:tblGrid>
        <w:gridCol w:w="9350"/>
      </w:tblGrid>
      <w:tr w:rsidR="00452926" w:rsidRPr="00C306B3" w14:paraId="5E9F04E8" w14:textId="77777777" w:rsidTr="007122BE">
        <w:tc>
          <w:tcPr>
            <w:tcW w:w="9350" w:type="dxa"/>
          </w:tcPr>
          <w:p w14:paraId="3C27D18E" w14:textId="77777777" w:rsidR="00452926" w:rsidRPr="00C306B3" w:rsidRDefault="00452926" w:rsidP="007122BE">
            <w:pPr>
              <w:rPr>
                <w:rFonts w:ascii="Times New Roman" w:eastAsia="Malgun Gothic" w:hAnsi="Times New Roman"/>
                <w:sz w:val="20"/>
                <w:szCs w:val="20"/>
              </w:rPr>
            </w:pPr>
            <w:r w:rsidRPr="00C306B3">
              <w:rPr>
                <w:rFonts w:ascii="Times New Roman" w:eastAsia="Malgun Gothic" w:hAnsi="Times New Roman"/>
                <w:sz w:val="20"/>
                <w:szCs w:val="20"/>
              </w:rPr>
              <w:t>If the target TCI state is known, upon</w:t>
            </w:r>
            <w:r w:rsidRPr="00C306B3">
              <w:rPr>
                <w:rFonts w:ascii="Times New Roman" w:hAnsi="Times New Roman"/>
                <w:sz w:val="20"/>
                <w:szCs w:val="20"/>
              </w:rPr>
              <w:t xml:space="preserve"> receiv</w:t>
            </w:r>
            <w:r w:rsidRPr="00C306B3">
              <w:rPr>
                <w:rFonts w:ascii="Times New Roman" w:eastAsia="Malgun Gothic" w:hAnsi="Times New Roman"/>
                <w:sz w:val="20"/>
                <w:szCs w:val="20"/>
              </w:rPr>
              <w:t>ing PDSCH carrying</w:t>
            </w:r>
            <w:r w:rsidRPr="00C306B3">
              <w:rPr>
                <w:rFonts w:ascii="Times New Roman" w:hAnsi="Times New Roman"/>
                <w:sz w:val="20"/>
                <w:szCs w:val="20"/>
              </w:rPr>
              <w:t xml:space="preserve"> </w:t>
            </w:r>
            <w:r w:rsidRPr="00C306B3">
              <w:rPr>
                <w:rFonts w:ascii="Times New Roman" w:eastAsia="Malgun Gothic" w:hAnsi="Times New Roman"/>
                <w:sz w:val="20"/>
                <w:szCs w:val="20"/>
              </w:rPr>
              <w:t>MAC-CE active TCI state list update at slot n</w:t>
            </w:r>
            <w:r w:rsidRPr="00C306B3">
              <w:rPr>
                <w:rFonts w:ascii="Times New Roman" w:hAnsi="Times New Roman"/>
                <w:sz w:val="20"/>
                <w:szCs w:val="20"/>
              </w:rPr>
              <w:t xml:space="preserve">, UE shall be able to </w:t>
            </w:r>
            <w:r w:rsidRPr="00C306B3">
              <w:rPr>
                <w:rFonts w:ascii="Times New Roman" w:hAnsi="Times New Roman"/>
                <w:sz w:val="20"/>
                <w:szCs w:val="20"/>
                <w:highlight w:val="yellow"/>
              </w:rPr>
              <w:t>receive PDCCH to schedule PDSCH</w:t>
            </w:r>
            <w:r w:rsidRPr="00C306B3">
              <w:rPr>
                <w:rFonts w:ascii="Times New Roman" w:hAnsi="Times New Roman"/>
                <w:sz w:val="20"/>
                <w:szCs w:val="20"/>
              </w:rPr>
              <w:t xml:space="preserve"> with the new target TCI state </w:t>
            </w:r>
            <w:r w:rsidRPr="00C306B3">
              <w:rPr>
                <w:rFonts w:ascii="Times New Roman" w:eastAsia="Malgun Gothic" w:hAnsi="Times New Roman"/>
                <w:sz w:val="20"/>
                <w:szCs w:val="20"/>
              </w:rPr>
              <w:t>at the first slot that is after</w:t>
            </w:r>
            <w:r w:rsidRPr="00C306B3">
              <w:rPr>
                <w:rFonts w:ascii="Times New Roman" w:hAnsi="Times New Roman"/>
                <w:sz w:val="20"/>
                <w:szCs w:val="20"/>
              </w:rPr>
              <w:t xml:space="preserve"> n+</w:t>
            </w:r>
            <w:r w:rsidRPr="00C306B3">
              <w:rPr>
                <w:rFonts w:ascii="Times New Roman" w:eastAsia="Malgun Gothic" w:hAnsi="Times New Roman"/>
                <w:sz w:val="20"/>
                <w:szCs w:val="20"/>
              </w:rPr>
              <w:t xml:space="preserve"> T</w:t>
            </w:r>
            <w:r w:rsidRPr="00C306B3">
              <w:rPr>
                <w:rFonts w:ascii="Times New Roman" w:eastAsia="Malgun Gothic" w:hAnsi="Times New Roman"/>
                <w:sz w:val="20"/>
                <w:szCs w:val="20"/>
                <w:vertAlign w:val="subscript"/>
              </w:rPr>
              <w:t>HARQ</w:t>
            </w:r>
            <w:r w:rsidRPr="00C306B3">
              <w:rPr>
                <w:rFonts w:ascii="Times New Roman" w:eastAsia="Malgun Gothic" w:hAnsi="Times New Roman"/>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306B3">
              <w:rPr>
                <w:rFonts w:ascii="Times New Roman" w:eastAsia="Malgun Gothic" w:hAnsi="Times New Roman"/>
                <w:sz w:val="20"/>
                <w:szCs w:val="20"/>
              </w:rPr>
              <w:t xml:space="preserve"> +TO</w:t>
            </w:r>
            <w:r w:rsidRPr="00C306B3">
              <w:rPr>
                <w:rFonts w:ascii="Times New Roman" w:eastAsia="Malgun Gothic" w:hAnsi="Times New Roman"/>
                <w:sz w:val="20"/>
                <w:szCs w:val="20"/>
                <w:vertAlign w:val="subscript"/>
              </w:rPr>
              <w:t>k</w:t>
            </w:r>
            <w:r w:rsidRPr="00C306B3">
              <w:rPr>
                <w:rFonts w:ascii="Times New Roman" w:eastAsia="Malgun Gothic" w:hAnsi="Times New Roman"/>
                <w:sz w:val="20"/>
                <w:szCs w:val="20"/>
              </w:rPr>
              <w:t>*(T</w:t>
            </w:r>
            <w:r w:rsidRPr="00C306B3">
              <w:rPr>
                <w:rFonts w:ascii="Times New Roman" w:eastAsia="Malgun Gothic" w:hAnsi="Times New Roman"/>
                <w:sz w:val="20"/>
                <w:szCs w:val="20"/>
                <w:vertAlign w:val="subscript"/>
              </w:rPr>
              <w:t xml:space="preserve">first-SSB </w:t>
            </w:r>
            <w:r w:rsidRPr="00C306B3">
              <w:rPr>
                <w:rFonts w:ascii="Times New Roman" w:eastAsia="Malgun Gothic" w:hAnsi="Times New Roman"/>
                <w:sz w:val="20"/>
                <w:szCs w:val="20"/>
              </w:rPr>
              <w:t>+ T</w:t>
            </w:r>
            <w:r w:rsidRPr="00C306B3">
              <w:rPr>
                <w:rFonts w:ascii="Times New Roman" w:eastAsia="Malgun Gothic" w:hAnsi="Times New Roman"/>
                <w:sz w:val="20"/>
                <w:szCs w:val="20"/>
                <w:vertAlign w:val="subscript"/>
              </w:rPr>
              <w:t>SSB-proc</w:t>
            </w:r>
            <w:r w:rsidRPr="00C306B3">
              <w:rPr>
                <w:rFonts w:ascii="Times New Roman" w:eastAsia="Malgun Gothic" w:hAnsi="Times New Roman"/>
                <w:sz w:val="20"/>
                <w:szCs w:val="20"/>
              </w:rPr>
              <w:t>) /</w:t>
            </w:r>
            <w:r w:rsidRPr="00C306B3">
              <w:rPr>
                <w:rFonts w:ascii="Times New Roman" w:hAnsi="Times New Roman"/>
                <w:i/>
                <w:sz w:val="20"/>
                <w:szCs w:val="20"/>
              </w:rPr>
              <w:t xml:space="preserve"> NR slot length</w:t>
            </w:r>
            <w:r w:rsidRPr="00C306B3">
              <w:rPr>
                <w:rFonts w:ascii="Times New Roman" w:hAnsi="Times New Roman"/>
                <w:sz w:val="20"/>
                <w:szCs w:val="20"/>
              </w:rPr>
              <w:t xml:space="preserve">. Where </w:t>
            </w:r>
            <w:r w:rsidRPr="00C306B3">
              <w:rPr>
                <w:rFonts w:ascii="Times New Roman" w:eastAsia="Malgun Gothic" w:hAnsi="Times New Roman"/>
                <w:sz w:val="20"/>
                <w:szCs w:val="20"/>
              </w:rPr>
              <w:t>T</w:t>
            </w:r>
            <w:r w:rsidRPr="00C306B3">
              <w:rPr>
                <w:rFonts w:ascii="Times New Roman" w:eastAsia="Malgun Gothic" w:hAnsi="Times New Roman"/>
                <w:sz w:val="20"/>
                <w:szCs w:val="20"/>
                <w:vertAlign w:val="subscript"/>
              </w:rPr>
              <w:t>HARQ</w:t>
            </w:r>
            <w:r w:rsidRPr="00C306B3">
              <w:rPr>
                <w:rFonts w:ascii="Times New Roman" w:hAnsi="Times New Roman"/>
                <w:sz w:val="20"/>
                <w:szCs w:val="20"/>
              </w:rPr>
              <w:t xml:space="preserve">, </w:t>
            </w:r>
            <w:r w:rsidRPr="00C306B3">
              <w:rPr>
                <w:rFonts w:ascii="Times New Roman" w:eastAsia="Malgun Gothic" w:hAnsi="Times New Roman"/>
                <w:sz w:val="20"/>
                <w:szCs w:val="20"/>
              </w:rPr>
              <w:t>T</w:t>
            </w:r>
            <w:r w:rsidRPr="00C306B3">
              <w:rPr>
                <w:rFonts w:ascii="Times New Roman" w:eastAsia="Malgun Gothic" w:hAnsi="Times New Roman"/>
                <w:sz w:val="20"/>
                <w:szCs w:val="20"/>
                <w:vertAlign w:val="subscript"/>
              </w:rPr>
              <w:t>first-SSB,</w:t>
            </w:r>
            <w:r w:rsidRPr="00C306B3">
              <w:rPr>
                <w:rFonts w:ascii="Times New Roman" w:eastAsia="Malgun Gothic" w:hAnsi="Times New Roman"/>
                <w:sz w:val="20"/>
                <w:szCs w:val="20"/>
              </w:rPr>
              <w:t xml:space="preserve"> T</w:t>
            </w:r>
            <w:r w:rsidRPr="00C306B3">
              <w:rPr>
                <w:rFonts w:ascii="Times New Roman" w:eastAsia="Malgun Gothic" w:hAnsi="Times New Roman"/>
                <w:sz w:val="20"/>
                <w:szCs w:val="20"/>
                <w:vertAlign w:val="subscript"/>
              </w:rPr>
              <w:t xml:space="preserve">SSB-proc </w:t>
            </w:r>
            <w:r w:rsidRPr="00C306B3">
              <w:rPr>
                <w:rFonts w:ascii="Times New Roman" w:eastAsia="Malgun Gothic" w:hAnsi="Times New Roman"/>
                <w:sz w:val="20"/>
                <w:szCs w:val="20"/>
              </w:rPr>
              <w:t>and TO</w:t>
            </w:r>
            <w:r w:rsidRPr="00C306B3">
              <w:rPr>
                <w:rFonts w:ascii="Times New Roman" w:eastAsia="Malgun Gothic" w:hAnsi="Times New Roman"/>
                <w:sz w:val="20"/>
                <w:szCs w:val="20"/>
                <w:vertAlign w:val="subscript"/>
              </w:rPr>
              <w:t>k</w:t>
            </w:r>
            <w:r w:rsidRPr="00C306B3">
              <w:rPr>
                <w:rFonts w:ascii="Times New Roman" w:eastAsia="Malgun Gothic" w:hAnsi="Times New Roman"/>
                <w:sz w:val="20"/>
                <w:szCs w:val="20"/>
              </w:rPr>
              <w:t xml:space="preserve"> are defined in </w:t>
            </w:r>
            <w:r w:rsidRPr="00C306B3">
              <w:rPr>
                <w:rFonts w:ascii="Times New Roman" w:hAnsi="Times New Roman"/>
                <w:sz w:val="20"/>
                <w:szCs w:val="20"/>
                <w:lang w:eastAsia="ko-KR"/>
              </w:rPr>
              <w:t>clause</w:t>
            </w:r>
            <w:r w:rsidRPr="00C306B3">
              <w:rPr>
                <w:rFonts w:ascii="Times New Roman" w:eastAsia="Malgun Gothic" w:hAnsi="Times New Roman"/>
                <w:sz w:val="20"/>
                <w:szCs w:val="20"/>
              </w:rPr>
              <w:t xml:space="preserve"> 8.10.3.</w:t>
            </w:r>
          </w:p>
        </w:tc>
      </w:tr>
    </w:tbl>
    <w:p w14:paraId="5226599C" w14:textId="77777777" w:rsidR="00097ECB" w:rsidRPr="00C306B3" w:rsidRDefault="00452926" w:rsidP="00097ECB">
      <w:pPr>
        <w:pStyle w:val="BodyText"/>
        <w:spacing w:before="120"/>
        <w:rPr>
          <w:rFonts w:ascii="Times New Roman" w:eastAsia="Malgun Gothic" w:hAnsi="Times New Roman" w:cs="Times New Roman"/>
          <w:noProof/>
          <w:sz w:val="20"/>
          <w:szCs w:val="20"/>
        </w:rPr>
      </w:pPr>
      <w:r w:rsidRPr="00C306B3">
        <w:rPr>
          <w:rFonts w:ascii="Times New Roman" w:eastAsia="Malgun Gothic" w:hAnsi="Times New Roman" w:cs="Times New Roman"/>
          <w:noProof/>
          <w:sz w:val="20"/>
          <w:szCs w:val="20"/>
        </w:rPr>
        <w:t xml:space="preserve">From the wording, MAC CE based TCI state list update delay is used for TCI states activation for PDSCH, </w:t>
      </w:r>
    </w:p>
    <w:p w14:paraId="4AB7EA43" w14:textId="5D3FF8B8" w:rsidR="00097ECB" w:rsidRPr="00C306B3" w:rsidRDefault="00097ECB" w:rsidP="00097ECB">
      <w:pPr>
        <w:pStyle w:val="BodyText"/>
        <w:rPr>
          <w:rFonts w:ascii="Times New Roman" w:eastAsia="Malgun Gothic" w:hAnsi="Times New Roman" w:cs="Times New Roman"/>
          <w:noProof/>
          <w:sz w:val="20"/>
          <w:szCs w:val="20"/>
        </w:rPr>
      </w:pPr>
      <w:r w:rsidRPr="00C306B3">
        <w:rPr>
          <w:rFonts w:ascii="Times New Roman" w:eastAsia="Malgun Gothic" w:hAnsi="Times New Roman" w:cs="Times New Roman"/>
          <w:noProof/>
          <w:sz w:val="20"/>
          <w:szCs w:val="20"/>
        </w:rPr>
        <w:t xml:space="preserve">Observation : </w:t>
      </w:r>
      <w:r w:rsidR="00395BF8" w:rsidRPr="00C306B3">
        <w:rPr>
          <w:rFonts w:ascii="Times New Roman" w:eastAsia="Malgun Gothic" w:hAnsi="Times New Roman" w:cs="Times New Roman"/>
          <w:noProof/>
          <w:sz w:val="20"/>
          <w:szCs w:val="20"/>
        </w:rPr>
        <w:t xml:space="preserve">In RAN4, </w:t>
      </w:r>
      <w:r w:rsidRPr="00C306B3">
        <w:rPr>
          <w:rFonts w:ascii="Times New Roman" w:eastAsia="Malgun Gothic" w:hAnsi="Times New Roman" w:cs="Times New Roman"/>
          <w:noProof/>
          <w:sz w:val="20"/>
          <w:szCs w:val="20"/>
        </w:rPr>
        <w:t>MAC CE based TCI state list update delay is used for TCI states activation for PDSCH.</w:t>
      </w:r>
    </w:p>
    <w:p w14:paraId="79D7DF3A" w14:textId="1983C53C" w:rsidR="00097ECB" w:rsidRPr="00C306B3" w:rsidRDefault="00097ECB" w:rsidP="00097ECB">
      <w:pPr>
        <w:pStyle w:val="BodyText"/>
        <w:rPr>
          <w:rFonts w:ascii="Times New Roman" w:eastAsia="Malgun Gothic" w:hAnsi="Times New Roman" w:cs="Times New Roman"/>
          <w:noProof/>
          <w:sz w:val="20"/>
          <w:szCs w:val="20"/>
        </w:rPr>
      </w:pPr>
      <w:r w:rsidRPr="00C306B3">
        <w:rPr>
          <w:rFonts w:ascii="Times New Roman" w:eastAsia="Malgun Gothic" w:hAnsi="Times New Roman" w:cs="Times New Roman"/>
          <w:noProof/>
          <w:sz w:val="20"/>
          <w:szCs w:val="20"/>
        </w:rPr>
        <w:t>For mTRP case, there are two types of MAC CE based TCI state activation for PDSCH.</w:t>
      </w:r>
    </w:p>
    <w:p w14:paraId="3408D087" w14:textId="7CB6AD80" w:rsidR="00097ECB" w:rsidRPr="00C306B3" w:rsidRDefault="00097ECB" w:rsidP="00097ECB">
      <w:pPr>
        <w:pStyle w:val="BodyText"/>
        <w:numPr>
          <w:ilvl w:val="0"/>
          <w:numId w:val="12"/>
        </w:numPr>
        <w:rPr>
          <w:rFonts w:ascii="Times New Roman" w:eastAsia="Malgun Gothic" w:hAnsi="Times New Roman" w:cs="Times New Roman"/>
          <w:noProof/>
          <w:sz w:val="20"/>
          <w:szCs w:val="20"/>
        </w:rPr>
      </w:pPr>
      <w:r w:rsidRPr="00C306B3">
        <w:rPr>
          <w:rFonts w:ascii="Times New Roman" w:eastAsia="Malgun Gothic" w:hAnsi="Times New Roman" w:cs="Times New Roman"/>
          <w:noProof/>
          <w:sz w:val="20"/>
          <w:szCs w:val="20"/>
        </w:rPr>
        <w:lastRenderedPageBreak/>
        <w:t xml:space="preserve">mDCI: </w:t>
      </w:r>
      <w:r w:rsidRPr="00C306B3">
        <w:rPr>
          <w:rFonts w:ascii="Times New Roman" w:eastAsia="Times New Roman" w:hAnsi="Times New Roman" w:cs="Times New Roman"/>
          <w:color w:val="000000"/>
          <w:sz w:val="20"/>
          <w:szCs w:val="20"/>
          <w:lang w:val="en-GB" w:eastAsia="ko-KR"/>
        </w:rPr>
        <w:t xml:space="preserve">defined in clause 6.1.3.14 in 38.321. with </w:t>
      </w:r>
      <w:r w:rsidRPr="00C306B3">
        <w:rPr>
          <w:rFonts w:ascii="Times New Roman" w:eastAsia="Malgun Gothic" w:hAnsi="Times New Roman" w:cs="Times New Roman"/>
          <w:noProof/>
          <w:sz w:val="20"/>
          <w:szCs w:val="20"/>
        </w:rPr>
        <w:t>CORESET Pool ID = {0, 1}, it can indicate that which TRP the MAC CE shall be applied for. If will also apply for single TRP case with no CORESET Pool ID. It can support up to 8 TCI states to be activated.</w:t>
      </w:r>
    </w:p>
    <w:p w14:paraId="6F324F3C" w14:textId="2E118BF9" w:rsidR="00097ECB" w:rsidRPr="00C306B3" w:rsidRDefault="00097ECB" w:rsidP="0057215F">
      <w:pPr>
        <w:pStyle w:val="BodyText"/>
        <w:numPr>
          <w:ilvl w:val="0"/>
          <w:numId w:val="12"/>
        </w:numPr>
        <w:rPr>
          <w:rFonts w:ascii="Times New Roman" w:eastAsia="Malgun Gothic" w:hAnsi="Times New Roman" w:cs="Times New Roman"/>
          <w:noProof/>
          <w:sz w:val="20"/>
          <w:szCs w:val="20"/>
        </w:rPr>
      </w:pPr>
      <w:r w:rsidRPr="00C306B3">
        <w:rPr>
          <w:rFonts w:ascii="Times New Roman" w:eastAsia="Malgun Gothic" w:hAnsi="Times New Roman" w:cs="Times New Roman"/>
          <w:noProof/>
          <w:sz w:val="20"/>
          <w:szCs w:val="20"/>
        </w:rPr>
        <w:t>sDCI.</w:t>
      </w:r>
      <w:r w:rsidRPr="00C306B3">
        <w:rPr>
          <w:rFonts w:ascii="Times New Roman" w:eastAsia="Times New Roman" w:hAnsi="Times New Roman" w:cs="Times New Roman"/>
          <w:color w:val="000000"/>
          <w:sz w:val="20"/>
          <w:szCs w:val="20"/>
          <w:lang w:val="en-GB" w:eastAsia="ko-KR"/>
        </w:rPr>
        <w:t xml:space="preserve"> The MAC CE activation command is defined in clause 6.1.3.24 in 38.321. Two TCI states from two TRPs will be activated in one codepoint The MAC CE activation command is. I can support multiple codepoints either.</w:t>
      </w:r>
    </w:p>
    <w:p w14:paraId="00328D80" w14:textId="5E161E61" w:rsidR="00395BF8" w:rsidRPr="00C306B3" w:rsidRDefault="00315F76" w:rsidP="00395BF8">
      <w:pPr>
        <w:pStyle w:val="BodyText"/>
        <w:rPr>
          <w:rFonts w:ascii="Times New Roman" w:eastAsia="Malgun Gothic" w:hAnsi="Times New Roman" w:cs="Times New Roman"/>
          <w:b/>
          <w:bCs/>
          <w:noProof/>
          <w:sz w:val="20"/>
          <w:szCs w:val="20"/>
        </w:rPr>
      </w:pPr>
      <w:r w:rsidRPr="00C306B3">
        <w:rPr>
          <w:rFonts w:ascii="Times New Roman" w:eastAsia="Malgun Gothic" w:hAnsi="Times New Roman" w:cs="Times New Roman"/>
          <w:b/>
          <w:bCs/>
          <w:noProof/>
          <w:sz w:val="20"/>
          <w:szCs w:val="20"/>
        </w:rPr>
        <w:t xml:space="preserve">Observation </w:t>
      </w:r>
      <w:r w:rsidR="00FD5A4C" w:rsidRPr="00C306B3">
        <w:rPr>
          <w:rFonts w:ascii="Times New Roman" w:eastAsia="Malgun Gothic" w:hAnsi="Times New Roman" w:cs="Times New Roman"/>
          <w:b/>
          <w:bCs/>
          <w:noProof/>
          <w:sz w:val="20"/>
          <w:szCs w:val="20"/>
        </w:rPr>
        <w:t>1</w:t>
      </w:r>
      <w:r w:rsidR="00395BF8" w:rsidRPr="00C306B3">
        <w:rPr>
          <w:rFonts w:ascii="Times New Roman" w:eastAsia="Malgun Gothic" w:hAnsi="Times New Roman" w:cs="Times New Roman"/>
          <w:b/>
          <w:bCs/>
          <w:noProof/>
          <w:sz w:val="20"/>
          <w:szCs w:val="20"/>
        </w:rPr>
        <w:t>: For TCI state list update delay, it will include two types of TCI state list update for mDCI and sDCI respectively:</w:t>
      </w:r>
    </w:p>
    <w:p w14:paraId="2E6B2445" w14:textId="2F5B2642" w:rsidR="00395BF8" w:rsidRPr="00C306B3" w:rsidRDefault="00395BF8" w:rsidP="00395BF8">
      <w:pPr>
        <w:pStyle w:val="BodyText"/>
        <w:numPr>
          <w:ilvl w:val="0"/>
          <w:numId w:val="15"/>
        </w:numPr>
        <w:rPr>
          <w:rFonts w:ascii="Times New Roman" w:eastAsia="Malgun Gothic" w:hAnsi="Times New Roman" w:cs="Times New Roman"/>
          <w:b/>
          <w:bCs/>
          <w:noProof/>
          <w:sz w:val="20"/>
          <w:szCs w:val="20"/>
        </w:rPr>
      </w:pPr>
      <w:r w:rsidRPr="00C306B3">
        <w:rPr>
          <w:rFonts w:ascii="Times New Roman" w:eastAsia="Malgun Gothic" w:hAnsi="Times New Roman" w:cs="Times New Roman"/>
          <w:b/>
          <w:bCs/>
          <w:noProof/>
          <w:sz w:val="20"/>
          <w:szCs w:val="20"/>
        </w:rPr>
        <w:t>for mDCI: up to 8 TCI states come from the same TRP</w:t>
      </w:r>
    </w:p>
    <w:p w14:paraId="5F5B2A75" w14:textId="600D9B30" w:rsidR="00395BF8" w:rsidRPr="00C306B3" w:rsidRDefault="00395BF8" w:rsidP="00395BF8">
      <w:pPr>
        <w:pStyle w:val="BodyText"/>
        <w:numPr>
          <w:ilvl w:val="0"/>
          <w:numId w:val="15"/>
        </w:numPr>
        <w:rPr>
          <w:rFonts w:ascii="Times New Roman" w:eastAsia="Malgun Gothic" w:hAnsi="Times New Roman" w:cs="Times New Roman"/>
          <w:b/>
          <w:bCs/>
          <w:noProof/>
          <w:sz w:val="20"/>
          <w:szCs w:val="20"/>
        </w:rPr>
      </w:pPr>
      <w:r w:rsidRPr="00C306B3">
        <w:rPr>
          <w:rFonts w:ascii="Times New Roman" w:eastAsia="Malgun Gothic" w:hAnsi="Times New Roman" w:cs="Times New Roman"/>
          <w:b/>
          <w:bCs/>
          <w:noProof/>
          <w:sz w:val="20"/>
          <w:szCs w:val="20"/>
        </w:rPr>
        <w:t>for sDCI: two TCI states from two TRP in one codepoint, up to 8 codepoints.</w:t>
      </w:r>
    </w:p>
    <w:p w14:paraId="6333E40D" w14:textId="373FBE91" w:rsidR="00097ECB" w:rsidRPr="00C306B3" w:rsidRDefault="00395BF8" w:rsidP="00097ECB">
      <w:pPr>
        <w:pStyle w:val="BodyText"/>
        <w:rPr>
          <w:rFonts w:ascii="Times New Roman" w:eastAsia="Malgun Gothic" w:hAnsi="Times New Roman" w:cs="Times New Roman"/>
          <w:noProof/>
          <w:sz w:val="20"/>
          <w:szCs w:val="20"/>
        </w:rPr>
      </w:pPr>
      <w:r w:rsidRPr="00C306B3">
        <w:rPr>
          <w:rFonts w:ascii="Times New Roman" w:eastAsia="Malgun Gothic" w:hAnsi="Times New Roman" w:cs="Times New Roman"/>
          <w:noProof/>
          <w:sz w:val="20"/>
          <w:szCs w:val="20"/>
        </w:rPr>
        <w:t xml:space="preserve">In RAN4, </w:t>
      </w:r>
      <w:r w:rsidR="00097ECB" w:rsidRPr="00C306B3">
        <w:rPr>
          <w:rFonts w:ascii="Times New Roman" w:eastAsia="Malgun Gothic" w:hAnsi="Times New Roman" w:cs="Times New Roman"/>
          <w:noProof/>
          <w:sz w:val="20"/>
          <w:szCs w:val="20"/>
        </w:rPr>
        <w:t xml:space="preserve">the legacy MAC CE based TCI state list update delay </w:t>
      </w:r>
      <w:r w:rsidRPr="00C306B3">
        <w:rPr>
          <w:rFonts w:ascii="Times New Roman" w:eastAsia="Malgun Gothic" w:hAnsi="Times New Roman" w:cs="Times New Roman"/>
          <w:noProof/>
          <w:sz w:val="20"/>
          <w:szCs w:val="20"/>
        </w:rPr>
        <w:t xml:space="preserve">requirement </w:t>
      </w:r>
      <w:r w:rsidR="00097ECB" w:rsidRPr="00C306B3">
        <w:rPr>
          <w:rFonts w:ascii="Times New Roman" w:eastAsia="Malgun Gothic" w:hAnsi="Times New Roman" w:cs="Times New Roman"/>
          <w:noProof/>
          <w:sz w:val="20"/>
          <w:szCs w:val="20"/>
        </w:rPr>
        <w:t>in clause 8.10.6 can applied for mDCI case with the assumption that one TCI state can be actived.</w:t>
      </w:r>
    </w:p>
    <w:p w14:paraId="05304CFE" w14:textId="1F00DED9" w:rsidR="00395BF8" w:rsidRPr="00C306B3" w:rsidRDefault="00395BF8" w:rsidP="00395BF8">
      <w:pPr>
        <w:pStyle w:val="BodyText"/>
        <w:rPr>
          <w:rFonts w:ascii="Times New Roman" w:eastAsia="Malgun Gothic" w:hAnsi="Times New Roman" w:cs="Times New Roman"/>
          <w:noProof/>
          <w:sz w:val="20"/>
          <w:szCs w:val="20"/>
        </w:rPr>
      </w:pPr>
      <w:r w:rsidRPr="00C306B3">
        <w:rPr>
          <w:rFonts w:ascii="Times New Roman" w:eastAsia="Malgun Gothic" w:hAnsi="Times New Roman" w:cs="Times New Roman"/>
          <w:b/>
          <w:bCs/>
          <w:noProof/>
          <w:sz w:val="20"/>
          <w:szCs w:val="20"/>
        </w:rPr>
        <w:t xml:space="preserve">Observation </w:t>
      </w:r>
      <w:r w:rsidR="00FD5A4C" w:rsidRPr="00C306B3">
        <w:rPr>
          <w:rFonts w:ascii="Times New Roman" w:eastAsia="Malgun Gothic" w:hAnsi="Times New Roman" w:cs="Times New Roman"/>
          <w:b/>
          <w:bCs/>
          <w:noProof/>
          <w:sz w:val="20"/>
          <w:szCs w:val="20"/>
        </w:rPr>
        <w:t>2</w:t>
      </w:r>
      <w:r w:rsidRPr="00C306B3">
        <w:rPr>
          <w:rFonts w:ascii="Times New Roman" w:eastAsia="Malgun Gothic" w:hAnsi="Times New Roman" w:cs="Times New Roman"/>
          <w:b/>
          <w:bCs/>
          <w:noProof/>
          <w:sz w:val="20"/>
          <w:szCs w:val="20"/>
        </w:rPr>
        <w:t>:</w:t>
      </w:r>
      <w:r w:rsidRPr="00C306B3">
        <w:rPr>
          <w:rFonts w:ascii="Times New Roman" w:eastAsia="Malgun Gothic" w:hAnsi="Times New Roman" w:cs="Times New Roman"/>
          <w:noProof/>
          <w:sz w:val="20"/>
          <w:szCs w:val="20"/>
        </w:rPr>
        <w:t xml:space="preserve"> </w:t>
      </w:r>
      <w:r w:rsidRPr="00C306B3">
        <w:rPr>
          <w:rFonts w:ascii="Times New Roman" w:eastAsia="Malgun Gothic" w:hAnsi="Times New Roman" w:cs="Times New Roman"/>
          <w:b/>
          <w:bCs/>
          <w:noProof/>
          <w:sz w:val="20"/>
          <w:szCs w:val="20"/>
        </w:rPr>
        <w:t>In RAN4, MAC CE based TCI state list update delay requirement in clause 8.10.6 can applied for mDCI case with the assumption that one TCI state can be actived.</w:t>
      </w:r>
    </w:p>
    <w:p w14:paraId="5406320A" w14:textId="433483BA" w:rsidR="00395BF8" w:rsidRPr="00C306B3" w:rsidRDefault="00395BF8" w:rsidP="00887E04">
      <w:pPr>
        <w:pStyle w:val="BodyText"/>
        <w:rPr>
          <w:rFonts w:ascii="Times New Roman" w:eastAsia="Malgun Gothic" w:hAnsi="Times New Roman" w:cs="Times New Roman"/>
          <w:noProof/>
          <w:sz w:val="20"/>
          <w:szCs w:val="20"/>
        </w:rPr>
      </w:pPr>
      <w:r w:rsidRPr="00C306B3">
        <w:rPr>
          <w:rFonts w:ascii="Times New Roman" w:eastAsia="Malgun Gothic" w:hAnsi="Times New Roman" w:cs="Times New Roman"/>
          <w:noProof/>
          <w:sz w:val="20"/>
          <w:szCs w:val="20"/>
        </w:rPr>
        <w:t>Therefore, when exteded to mTRP case, RAN4 need to discuss whether to define two separate requirement for sDCI and mDCI.</w:t>
      </w:r>
    </w:p>
    <w:p w14:paraId="6F6F546D" w14:textId="77777777" w:rsidR="00441031" w:rsidRPr="00C306B3" w:rsidRDefault="00441031" w:rsidP="00441031">
      <w:pPr>
        <w:pStyle w:val="BodyText"/>
        <w:rPr>
          <w:rFonts w:ascii="Times New Roman" w:eastAsia="Malgun Gothic" w:hAnsi="Times New Roman" w:cs="Times New Roman"/>
          <w:noProof/>
          <w:sz w:val="20"/>
          <w:szCs w:val="20"/>
        </w:rPr>
      </w:pPr>
      <w:r w:rsidRPr="00C306B3">
        <w:rPr>
          <w:rFonts w:ascii="Times New Roman" w:eastAsia="Malgun Gothic" w:hAnsi="Times New Roman" w:cs="Times New Roman"/>
          <w:noProof/>
          <w:sz w:val="20"/>
          <w:szCs w:val="20"/>
        </w:rPr>
        <w:t>The simpliest way is to also define a MAC CE based requirement for sDCI either. However, it seems that it’s a little reduncy if we define two requirement for mDCI and sDCI case respectively.</w:t>
      </w:r>
    </w:p>
    <w:p w14:paraId="1D06D42F" w14:textId="2C0C2E98" w:rsidR="00441031" w:rsidRPr="00C306B3" w:rsidRDefault="00441031" w:rsidP="00441031">
      <w:pPr>
        <w:pStyle w:val="BodyText"/>
        <w:rPr>
          <w:rFonts w:ascii="Times New Roman" w:eastAsia="Malgun Gothic" w:hAnsi="Times New Roman" w:cs="Times New Roman"/>
          <w:noProof/>
          <w:sz w:val="20"/>
          <w:szCs w:val="20"/>
        </w:rPr>
      </w:pPr>
      <w:r w:rsidRPr="00C306B3">
        <w:rPr>
          <w:rFonts w:ascii="Times New Roman" w:eastAsia="Malgun Gothic" w:hAnsi="Times New Roman" w:cs="Times New Roman"/>
          <w:noProof/>
          <w:sz w:val="20"/>
          <w:szCs w:val="20"/>
        </w:rPr>
        <w:t xml:space="preserve">If TCI state switched can be performed for each TCI state independently, from RAN4 aspect, there is no difference whether these TCI states are from the same TRP or not. </w:t>
      </w:r>
      <w:r w:rsidR="00557348" w:rsidRPr="00C306B3">
        <w:rPr>
          <w:rFonts w:ascii="Times New Roman" w:eastAsia="Malgun Gothic" w:hAnsi="Times New Roman" w:cs="Times New Roman"/>
          <w:noProof/>
          <w:sz w:val="20"/>
          <w:szCs w:val="20"/>
        </w:rPr>
        <w:t>F</w:t>
      </w:r>
      <w:r w:rsidRPr="00C306B3">
        <w:rPr>
          <w:rFonts w:ascii="Times New Roman" w:eastAsia="Malgun Gothic" w:hAnsi="Times New Roman" w:cs="Times New Roman"/>
          <w:noProof/>
          <w:sz w:val="20"/>
          <w:szCs w:val="20"/>
        </w:rPr>
        <w:t>inally, the longest delay will be used for the whole list update.</w:t>
      </w:r>
    </w:p>
    <w:p w14:paraId="2FB55CC0" w14:textId="0758827F" w:rsidR="00E424C2" w:rsidRPr="00C306B3" w:rsidRDefault="00441031" w:rsidP="00887E04">
      <w:pPr>
        <w:pStyle w:val="BodyText"/>
        <w:rPr>
          <w:rFonts w:ascii="Times New Roman" w:eastAsia="Malgun Gothic" w:hAnsi="Times New Roman" w:cs="Times New Roman"/>
          <w:b/>
          <w:bCs/>
          <w:noProof/>
          <w:sz w:val="20"/>
          <w:szCs w:val="20"/>
        </w:rPr>
      </w:pPr>
      <w:r w:rsidRPr="00C306B3">
        <w:rPr>
          <w:rFonts w:ascii="Times New Roman" w:eastAsia="Malgun Gothic" w:hAnsi="Times New Roman" w:cs="Times New Roman"/>
          <w:b/>
          <w:bCs/>
          <w:noProof/>
          <w:sz w:val="20"/>
          <w:szCs w:val="20"/>
        </w:rPr>
        <w:t>Proposal</w:t>
      </w:r>
      <w:r w:rsidR="006208AF" w:rsidRPr="00C306B3">
        <w:rPr>
          <w:rFonts w:ascii="Times New Roman" w:eastAsia="Malgun Gothic" w:hAnsi="Times New Roman" w:cs="Times New Roman"/>
          <w:b/>
          <w:bCs/>
          <w:noProof/>
          <w:sz w:val="20"/>
          <w:szCs w:val="20"/>
        </w:rPr>
        <w:t xml:space="preserve"> </w:t>
      </w:r>
      <w:r w:rsidR="0057215F" w:rsidRPr="00C306B3">
        <w:rPr>
          <w:rFonts w:ascii="Times New Roman" w:eastAsia="Malgun Gothic" w:hAnsi="Times New Roman" w:cs="Times New Roman"/>
          <w:b/>
          <w:bCs/>
          <w:noProof/>
          <w:sz w:val="20"/>
          <w:szCs w:val="20"/>
        </w:rPr>
        <w:t>4</w:t>
      </w:r>
      <w:r w:rsidRPr="00C306B3">
        <w:rPr>
          <w:rFonts w:ascii="Times New Roman" w:eastAsia="Malgun Gothic" w:hAnsi="Times New Roman" w:cs="Times New Roman"/>
          <w:b/>
          <w:bCs/>
          <w:noProof/>
          <w:sz w:val="20"/>
          <w:szCs w:val="20"/>
        </w:rPr>
        <w:t xml:space="preserve">: RAN4 to </w:t>
      </w:r>
      <w:r w:rsidR="00D73E16" w:rsidRPr="00C306B3">
        <w:rPr>
          <w:rFonts w:ascii="Times New Roman" w:eastAsia="Malgun Gothic" w:hAnsi="Times New Roman" w:cs="Times New Roman"/>
          <w:b/>
          <w:bCs/>
          <w:noProof/>
          <w:sz w:val="20"/>
          <w:szCs w:val="20"/>
        </w:rPr>
        <w:t xml:space="preserve">further </w:t>
      </w:r>
      <w:r w:rsidRPr="00C306B3">
        <w:rPr>
          <w:rFonts w:ascii="Times New Roman" w:eastAsia="Malgun Gothic" w:hAnsi="Times New Roman" w:cs="Times New Roman"/>
          <w:b/>
          <w:bCs/>
          <w:noProof/>
          <w:sz w:val="20"/>
          <w:szCs w:val="20"/>
        </w:rPr>
        <w:t xml:space="preserve">discuss whether </w:t>
      </w:r>
      <w:r w:rsidR="00D73E16" w:rsidRPr="00C306B3">
        <w:rPr>
          <w:rFonts w:ascii="Times New Roman" w:eastAsia="Malgun Gothic" w:hAnsi="Times New Roman" w:cs="Times New Roman"/>
          <w:b/>
          <w:bCs/>
          <w:noProof/>
          <w:sz w:val="20"/>
          <w:szCs w:val="20"/>
        </w:rPr>
        <w:t xml:space="preserve">to </w:t>
      </w:r>
      <w:r w:rsidRPr="00C306B3">
        <w:rPr>
          <w:rFonts w:ascii="Times New Roman" w:eastAsia="Malgun Gothic" w:hAnsi="Times New Roman" w:cs="Times New Roman"/>
          <w:b/>
          <w:bCs/>
          <w:noProof/>
          <w:sz w:val="20"/>
          <w:szCs w:val="20"/>
        </w:rPr>
        <w:t xml:space="preserve">define two types of </w:t>
      </w:r>
      <w:r w:rsidR="00557348" w:rsidRPr="00C306B3">
        <w:rPr>
          <w:rFonts w:ascii="Times New Roman" w:eastAsia="Malgun Gothic" w:hAnsi="Times New Roman" w:cs="Times New Roman"/>
          <w:b/>
          <w:bCs/>
          <w:noProof/>
          <w:sz w:val="20"/>
          <w:szCs w:val="20"/>
        </w:rPr>
        <w:t>TCI state list update delay</w:t>
      </w:r>
      <w:r w:rsidRPr="00C306B3">
        <w:rPr>
          <w:rFonts w:ascii="Times New Roman" w:eastAsia="Malgun Gothic" w:hAnsi="Times New Roman" w:cs="Times New Roman"/>
          <w:b/>
          <w:bCs/>
          <w:noProof/>
          <w:sz w:val="20"/>
          <w:szCs w:val="20"/>
        </w:rPr>
        <w:t xml:space="preserve"> requirement for sDCI and mDCI respectively, or just define a common one.</w:t>
      </w:r>
    </w:p>
    <w:p w14:paraId="66A68776" w14:textId="59F72F23" w:rsidR="00DC678C" w:rsidRPr="00C306B3" w:rsidRDefault="006208AF" w:rsidP="006208AF">
      <w:pPr>
        <w:pStyle w:val="Heading2"/>
        <w:spacing w:after="120"/>
        <w:rPr>
          <w:rFonts w:ascii="Times New Roman" w:hAnsi="Times New Roman" w:cs="Times New Roman"/>
          <w:lang w:eastAsia="zh-TW"/>
        </w:rPr>
      </w:pPr>
      <w:r w:rsidRPr="00C306B3">
        <w:rPr>
          <w:rFonts w:ascii="Times New Roman" w:hAnsi="Times New Roman" w:cs="Times New Roman"/>
          <w:lang w:eastAsia="zh-TW"/>
        </w:rPr>
        <w:t>2.</w:t>
      </w:r>
      <w:r w:rsidR="0076338E" w:rsidRPr="00C306B3">
        <w:rPr>
          <w:rFonts w:ascii="Times New Roman" w:hAnsi="Times New Roman" w:cs="Times New Roman"/>
          <w:lang w:eastAsia="zh-TW"/>
        </w:rPr>
        <w:t>4</w:t>
      </w:r>
      <w:r w:rsidRPr="00C306B3">
        <w:rPr>
          <w:rFonts w:ascii="Times New Roman" w:hAnsi="Times New Roman" w:cs="Times New Roman"/>
          <w:lang w:eastAsia="zh-TW"/>
        </w:rPr>
        <w:t xml:space="preserve"> </w:t>
      </w:r>
      <w:r w:rsidR="00DC678C" w:rsidRPr="00C306B3">
        <w:rPr>
          <w:rFonts w:ascii="Times New Roman" w:hAnsi="Times New Roman" w:cs="Times New Roman"/>
          <w:lang w:eastAsia="zh-TW"/>
        </w:rPr>
        <w:t>Total TCI activation delay for simultaneous reception</w:t>
      </w:r>
    </w:p>
    <w:p w14:paraId="1DA79821" w14:textId="77777777" w:rsidR="00DC678C" w:rsidRPr="00C306B3" w:rsidRDefault="00DC678C" w:rsidP="00DC678C">
      <w:pPr>
        <w:pStyle w:val="0Maintext"/>
        <w:spacing w:after="120" w:afterAutospacing="0" w:line="240" w:lineRule="auto"/>
        <w:ind w:firstLine="0"/>
        <w:rPr>
          <w:rFonts w:cs="Times New Roman"/>
          <w:lang w:val="en-US" w:eastAsia="zh-CN"/>
        </w:rPr>
      </w:pPr>
      <w:r w:rsidRPr="00C306B3">
        <w:rPr>
          <w:rFonts w:cs="Times New Roman"/>
          <w:lang w:val="en-US" w:eastAsia="zh-CN"/>
        </w:rPr>
        <w:t xml:space="preserve">UE can simultaneously receive two PDSCH only after UE has finish two TCI states activation no </w:t>
      </w:r>
      <w:proofErr w:type="gramStart"/>
      <w:r w:rsidRPr="00C306B3">
        <w:rPr>
          <w:rFonts w:cs="Times New Roman"/>
          <w:lang w:val="en-US" w:eastAsia="zh-CN"/>
        </w:rPr>
        <w:t>matter</w:t>
      </w:r>
      <w:proofErr w:type="gramEnd"/>
      <w:r w:rsidRPr="00C306B3">
        <w:rPr>
          <w:rFonts w:cs="Times New Roman"/>
          <w:lang w:val="en-US" w:eastAsia="zh-CN"/>
        </w:rPr>
        <w:t xml:space="preserve"> they are activated in one MAC CE or in two MAC CEs.</w:t>
      </w:r>
    </w:p>
    <w:p w14:paraId="4183F0CC" w14:textId="01F7DAA5" w:rsidR="00DC678C" w:rsidRPr="00C306B3" w:rsidRDefault="00DC678C" w:rsidP="00DC678C">
      <w:pPr>
        <w:pStyle w:val="0Maintext"/>
        <w:spacing w:after="120" w:afterAutospacing="0" w:line="240" w:lineRule="auto"/>
        <w:ind w:firstLine="0"/>
        <w:rPr>
          <w:rFonts w:cs="Times New Roman"/>
          <w:b/>
          <w:bCs/>
          <w:lang w:val="en-US" w:eastAsia="zh-CN"/>
        </w:rPr>
      </w:pPr>
      <w:r w:rsidRPr="00C306B3">
        <w:rPr>
          <w:rFonts w:cs="Times New Roman"/>
          <w:b/>
          <w:bCs/>
          <w:lang w:val="en-US" w:eastAsia="zh-CN"/>
        </w:rPr>
        <w:t>Proposal</w:t>
      </w:r>
      <w:r w:rsidR="006208AF" w:rsidRPr="00C306B3">
        <w:rPr>
          <w:rFonts w:cs="Times New Roman"/>
          <w:b/>
          <w:bCs/>
          <w:lang w:val="en-US" w:eastAsia="zh-CN"/>
        </w:rPr>
        <w:t xml:space="preserve"> </w:t>
      </w:r>
      <w:r w:rsidR="0057215F" w:rsidRPr="00C306B3">
        <w:rPr>
          <w:rFonts w:cs="Times New Roman"/>
          <w:b/>
          <w:bCs/>
          <w:lang w:val="en-US" w:eastAsia="zh-CN"/>
        </w:rPr>
        <w:t>5</w:t>
      </w:r>
      <w:r w:rsidRPr="00C306B3">
        <w:rPr>
          <w:rFonts w:cs="Times New Roman"/>
          <w:b/>
          <w:bCs/>
          <w:lang w:val="en-US" w:eastAsia="zh-CN"/>
        </w:rPr>
        <w:t xml:space="preserve">: The total TCI activation delay for simultaneous reception is from UE receive the first MAC CE command to the time </w:t>
      </w:r>
      <w:r w:rsidR="00A42955" w:rsidRPr="00C306B3">
        <w:rPr>
          <w:rFonts w:cs="Times New Roman"/>
          <w:b/>
          <w:bCs/>
          <w:lang w:val="en-US" w:eastAsia="zh-CN"/>
        </w:rPr>
        <w:t xml:space="preserve">UE </w:t>
      </w:r>
      <w:r w:rsidRPr="00C306B3">
        <w:rPr>
          <w:rFonts w:cs="Times New Roman"/>
          <w:b/>
          <w:bCs/>
          <w:lang w:val="en-US" w:eastAsia="zh-CN"/>
        </w:rPr>
        <w:t xml:space="preserve">has finish two TCI states activation no matter </w:t>
      </w:r>
      <w:r w:rsidR="00A42955" w:rsidRPr="00C306B3">
        <w:rPr>
          <w:rFonts w:cs="Times New Roman"/>
          <w:b/>
          <w:bCs/>
          <w:lang w:val="en-US" w:eastAsia="zh-CN"/>
        </w:rPr>
        <w:t xml:space="preserve">whether the </w:t>
      </w:r>
      <w:r w:rsidR="00927E4A" w:rsidRPr="00C306B3">
        <w:rPr>
          <w:rFonts w:cs="Times New Roman"/>
          <w:b/>
          <w:bCs/>
          <w:lang w:val="en-US" w:eastAsia="zh-CN"/>
        </w:rPr>
        <w:t>two TCI states</w:t>
      </w:r>
      <w:r w:rsidRPr="00C306B3">
        <w:rPr>
          <w:rFonts w:cs="Times New Roman"/>
          <w:b/>
          <w:bCs/>
          <w:lang w:val="en-US" w:eastAsia="zh-CN"/>
        </w:rPr>
        <w:t xml:space="preserve"> are activated </w:t>
      </w:r>
      <w:r w:rsidR="00A42955" w:rsidRPr="00C306B3">
        <w:rPr>
          <w:rFonts w:cs="Times New Roman"/>
          <w:b/>
          <w:bCs/>
          <w:lang w:val="en-US" w:eastAsia="zh-CN"/>
        </w:rPr>
        <w:t>by</w:t>
      </w:r>
      <w:r w:rsidRPr="00C306B3">
        <w:rPr>
          <w:rFonts w:cs="Times New Roman"/>
          <w:b/>
          <w:bCs/>
          <w:lang w:val="en-US" w:eastAsia="zh-CN"/>
        </w:rPr>
        <w:t xml:space="preserve"> one MAC CE or two MAC CEs.</w:t>
      </w:r>
    </w:p>
    <w:p w14:paraId="1B9DE2FF" w14:textId="77777777" w:rsidR="00B33BF4" w:rsidRPr="00C306B3" w:rsidRDefault="00B33BF4" w:rsidP="00B33BF4">
      <w:pPr>
        <w:pStyle w:val="Heading1"/>
        <w:numPr>
          <w:ilvl w:val="0"/>
          <w:numId w:val="1"/>
        </w:numPr>
        <w:rPr>
          <w:rFonts w:ascii="Times New Roman" w:hAnsi="Times New Roman"/>
        </w:rPr>
      </w:pPr>
      <w:r w:rsidRPr="00C306B3">
        <w:rPr>
          <w:rFonts w:ascii="Times New Roman" w:hAnsi="Times New Roman"/>
        </w:rPr>
        <w:t>Conclusion</w:t>
      </w:r>
    </w:p>
    <w:p w14:paraId="1319FF05" w14:textId="77777777" w:rsidR="00B33BF4" w:rsidRPr="00C306B3" w:rsidRDefault="00B33BF4" w:rsidP="00B33BF4">
      <w:pPr>
        <w:rPr>
          <w:rFonts w:ascii="Times New Roman" w:hAnsi="Times New Roman"/>
          <w:sz w:val="20"/>
          <w:szCs w:val="20"/>
          <w:lang w:val="en-GB" w:eastAsia="en-US"/>
        </w:rPr>
      </w:pPr>
      <w:r w:rsidRPr="00C306B3">
        <w:rPr>
          <w:rFonts w:ascii="Times New Roman" w:hAnsi="Times New Roman"/>
          <w:sz w:val="20"/>
          <w:szCs w:val="20"/>
          <w:lang w:val="en-GB" w:eastAsia="en-US"/>
        </w:rPr>
        <w:t>In this contribution, we provide our views:</w:t>
      </w:r>
    </w:p>
    <w:p w14:paraId="1BEC6FD4" w14:textId="77777777" w:rsidR="0057215F" w:rsidRPr="00C306B3" w:rsidRDefault="0057215F" w:rsidP="0057215F">
      <w:pPr>
        <w:rPr>
          <w:rFonts w:ascii="Times New Roman" w:hAnsi="Times New Roman"/>
          <w:b/>
          <w:bCs/>
          <w:sz w:val="20"/>
          <w:szCs w:val="20"/>
        </w:rPr>
      </w:pPr>
      <w:r w:rsidRPr="00C306B3">
        <w:rPr>
          <w:rFonts w:ascii="Times New Roman" w:eastAsiaTheme="minorEastAsia" w:hAnsi="Times New Roman"/>
          <w:b/>
          <w:bCs/>
          <w:sz w:val="20"/>
          <w:szCs w:val="20"/>
        </w:rPr>
        <w:t xml:space="preserve">Proposal 1: Don’t need to consider </w:t>
      </w:r>
      <w:r w:rsidRPr="00C306B3">
        <w:rPr>
          <w:rFonts w:ascii="Times New Roman" w:hAnsi="Times New Roman"/>
          <w:b/>
          <w:bCs/>
          <w:sz w:val="20"/>
          <w:szCs w:val="20"/>
        </w:rPr>
        <w:t>Dual TCI to Single TCI case</w:t>
      </w:r>
      <w:r w:rsidRPr="00C306B3">
        <w:rPr>
          <w:rFonts w:ascii="Times New Roman" w:eastAsiaTheme="minorEastAsia" w:hAnsi="Times New Roman"/>
          <w:b/>
          <w:bCs/>
          <w:sz w:val="20"/>
          <w:szCs w:val="20"/>
        </w:rPr>
        <w:t xml:space="preserve"> since Legacy </w:t>
      </w:r>
      <w:r w:rsidRPr="00C306B3">
        <w:rPr>
          <w:rFonts w:ascii="Times New Roman" w:hAnsi="Times New Roman"/>
          <w:b/>
          <w:bCs/>
          <w:sz w:val="20"/>
          <w:szCs w:val="20"/>
          <w:lang w:eastAsia="zh-TW"/>
        </w:rPr>
        <w:t xml:space="preserve">TCI activation requirement can apply for </w:t>
      </w:r>
      <w:r w:rsidRPr="00C306B3">
        <w:rPr>
          <w:rFonts w:ascii="Times New Roman" w:hAnsi="Times New Roman"/>
          <w:b/>
          <w:bCs/>
          <w:sz w:val="20"/>
          <w:szCs w:val="20"/>
        </w:rPr>
        <w:t>this case.</w:t>
      </w:r>
    </w:p>
    <w:p w14:paraId="13F45420" w14:textId="77777777" w:rsidR="0057215F" w:rsidRPr="00C306B3" w:rsidRDefault="0057215F" w:rsidP="0057215F">
      <w:pPr>
        <w:rPr>
          <w:rFonts w:ascii="Times New Roman" w:hAnsi="Times New Roman"/>
          <w:b/>
          <w:bCs/>
          <w:sz w:val="20"/>
          <w:szCs w:val="20"/>
          <w:lang w:eastAsia="zh-TW"/>
        </w:rPr>
      </w:pPr>
      <w:r w:rsidRPr="00C306B3">
        <w:rPr>
          <w:rFonts w:ascii="Times New Roman" w:hAnsi="Times New Roman"/>
          <w:b/>
          <w:bCs/>
          <w:sz w:val="20"/>
          <w:szCs w:val="20"/>
          <w:lang w:eastAsia="zh-TW"/>
        </w:rPr>
        <w:t>Proposal 2: Introduce requirement for the case that both TCI states in TCI activation are known.</w:t>
      </w:r>
    </w:p>
    <w:p w14:paraId="1F4BFC96" w14:textId="77777777" w:rsidR="0057215F" w:rsidRPr="00C306B3" w:rsidRDefault="0057215F" w:rsidP="0057215F">
      <w:pPr>
        <w:rPr>
          <w:rFonts w:ascii="Times New Roman" w:hAnsi="Times New Roman"/>
          <w:b/>
          <w:bCs/>
          <w:sz w:val="20"/>
          <w:szCs w:val="20"/>
          <w:lang w:eastAsia="zh-TW"/>
        </w:rPr>
      </w:pPr>
      <w:r w:rsidRPr="00C306B3">
        <w:rPr>
          <w:rFonts w:ascii="Times New Roman" w:hAnsi="Times New Roman"/>
          <w:b/>
          <w:bCs/>
          <w:sz w:val="20"/>
          <w:szCs w:val="20"/>
          <w:lang w:eastAsia="zh-TW"/>
        </w:rPr>
        <w:t xml:space="preserve">Proposal 3: The dual TCI activation is known if both TCI states are included in </w:t>
      </w:r>
      <w:proofErr w:type="gramStart"/>
      <w:r w:rsidRPr="00C306B3">
        <w:rPr>
          <w:rFonts w:ascii="Times New Roman" w:hAnsi="Times New Roman"/>
          <w:b/>
          <w:bCs/>
          <w:sz w:val="20"/>
          <w:szCs w:val="20"/>
          <w:lang w:eastAsia="zh-TW"/>
        </w:rPr>
        <w:t>group based</w:t>
      </w:r>
      <w:proofErr w:type="gramEnd"/>
      <w:r w:rsidRPr="00C306B3">
        <w:rPr>
          <w:rFonts w:ascii="Times New Roman" w:hAnsi="Times New Roman"/>
          <w:b/>
          <w:bCs/>
          <w:sz w:val="20"/>
          <w:szCs w:val="20"/>
          <w:lang w:eastAsia="zh-TW"/>
        </w:rPr>
        <w:t xml:space="preserve"> reporting which is reported within [x]ms.</w:t>
      </w:r>
    </w:p>
    <w:p w14:paraId="62391BD2" w14:textId="77777777" w:rsidR="0057215F" w:rsidRPr="00C306B3" w:rsidRDefault="0057215F" w:rsidP="0057215F">
      <w:pPr>
        <w:pStyle w:val="BodyText"/>
        <w:rPr>
          <w:rFonts w:ascii="Times New Roman" w:eastAsia="Malgun Gothic" w:hAnsi="Times New Roman" w:cs="Times New Roman"/>
          <w:b/>
          <w:bCs/>
          <w:noProof/>
          <w:sz w:val="20"/>
          <w:szCs w:val="20"/>
        </w:rPr>
      </w:pPr>
      <w:r w:rsidRPr="00C306B3">
        <w:rPr>
          <w:rFonts w:ascii="Times New Roman" w:eastAsia="Malgun Gothic" w:hAnsi="Times New Roman" w:cs="Times New Roman"/>
          <w:b/>
          <w:bCs/>
          <w:noProof/>
          <w:sz w:val="20"/>
          <w:szCs w:val="20"/>
        </w:rPr>
        <w:t>Observation 1: For TCI state list update delay, it will include two types of TCI state list update for mDCI and sDCI respectively:</w:t>
      </w:r>
    </w:p>
    <w:p w14:paraId="43ED2F37" w14:textId="77777777" w:rsidR="0057215F" w:rsidRPr="00C306B3" w:rsidRDefault="0057215F" w:rsidP="0057215F">
      <w:pPr>
        <w:pStyle w:val="BodyText"/>
        <w:numPr>
          <w:ilvl w:val="0"/>
          <w:numId w:val="18"/>
        </w:numPr>
        <w:rPr>
          <w:rFonts w:ascii="Times New Roman" w:eastAsia="Malgun Gothic" w:hAnsi="Times New Roman" w:cs="Times New Roman"/>
          <w:b/>
          <w:bCs/>
          <w:noProof/>
          <w:sz w:val="20"/>
          <w:szCs w:val="20"/>
        </w:rPr>
      </w:pPr>
      <w:r w:rsidRPr="00C306B3">
        <w:rPr>
          <w:rFonts w:ascii="Times New Roman" w:eastAsia="Malgun Gothic" w:hAnsi="Times New Roman" w:cs="Times New Roman"/>
          <w:b/>
          <w:bCs/>
          <w:noProof/>
          <w:sz w:val="20"/>
          <w:szCs w:val="20"/>
        </w:rPr>
        <w:t>for mDCI: up to 8 TCI states come from the same TRP</w:t>
      </w:r>
    </w:p>
    <w:p w14:paraId="7D392858" w14:textId="77777777" w:rsidR="0057215F" w:rsidRPr="00C306B3" w:rsidRDefault="0057215F" w:rsidP="0057215F">
      <w:pPr>
        <w:pStyle w:val="BodyText"/>
        <w:numPr>
          <w:ilvl w:val="0"/>
          <w:numId w:val="18"/>
        </w:numPr>
        <w:rPr>
          <w:rFonts w:ascii="Times New Roman" w:eastAsia="Malgun Gothic" w:hAnsi="Times New Roman" w:cs="Times New Roman"/>
          <w:b/>
          <w:bCs/>
          <w:noProof/>
          <w:sz w:val="20"/>
          <w:szCs w:val="20"/>
        </w:rPr>
      </w:pPr>
      <w:r w:rsidRPr="00C306B3">
        <w:rPr>
          <w:rFonts w:ascii="Times New Roman" w:eastAsia="Malgun Gothic" w:hAnsi="Times New Roman" w:cs="Times New Roman"/>
          <w:b/>
          <w:bCs/>
          <w:noProof/>
          <w:sz w:val="20"/>
          <w:szCs w:val="20"/>
        </w:rPr>
        <w:lastRenderedPageBreak/>
        <w:t>for sDCI: two TCI states from two TRP in one codepoint, up to 8 codepoints.</w:t>
      </w:r>
    </w:p>
    <w:p w14:paraId="0195CCCE" w14:textId="77777777" w:rsidR="0057215F" w:rsidRPr="00C306B3" w:rsidRDefault="0057215F" w:rsidP="0057215F">
      <w:pPr>
        <w:pStyle w:val="BodyText"/>
        <w:rPr>
          <w:rFonts w:ascii="Times New Roman" w:eastAsia="Malgun Gothic" w:hAnsi="Times New Roman" w:cs="Times New Roman"/>
          <w:noProof/>
          <w:sz w:val="20"/>
          <w:szCs w:val="20"/>
        </w:rPr>
      </w:pPr>
      <w:r w:rsidRPr="00C306B3">
        <w:rPr>
          <w:rFonts w:ascii="Times New Roman" w:eastAsia="Malgun Gothic" w:hAnsi="Times New Roman" w:cs="Times New Roman"/>
          <w:b/>
          <w:bCs/>
          <w:noProof/>
          <w:sz w:val="20"/>
          <w:szCs w:val="20"/>
        </w:rPr>
        <w:t>Observation 2:</w:t>
      </w:r>
      <w:r w:rsidRPr="00C306B3">
        <w:rPr>
          <w:rFonts w:ascii="Times New Roman" w:eastAsia="Malgun Gothic" w:hAnsi="Times New Roman" w:cs="Times New Roman"/>
          <w:noProof/>
          <w:sz w:val="20"/>
          <w:szCs w:val="20"/>
        </w:rPr>
        <w:t xml:space="preserve"> </w:t>
      </w:r>
      <w:r w:rsidRPr="00C306B3">
        <w:rPr>
          <w:rFonts w:ascii="Times New Roman" w:eastAsia="Malgun Gothic" w:hAnsi="Times New Roman" w:cs="Times New Roman"/>
          <w:b/>
          <w:bCs/>
          <w:noProof/>
          <w:sz w:val="20"/>
          <w:szCs w:val="20"/>
        </w:rPr>
        <w:t>In RAN4, MAC CE based TCI state list update delay requirement in clause 8.10.6 can applied for mDCI case with the assumption that one TCI state can be actived.</w:t>
      </w:r>
    </w:p>
    <w:p w14:paraId="7AACD1EC" w14:textId="77777777" w:rsidR="0057215F" w:rsidRPr="00C306B3" w:rsidRDefault="0057215F" w:rsidP="0057215F">
      <w:pPr>
        <w:pStyle w:val="BodyText"/>
        <w:rPr>
          <w:rFonts w:ascii="Times New Roman" w:eastAsia="Malgun Gothic" w:hAnsi="Times New Roman" w:cs="Times New Roman"/>
          <w:b/>
          <w:bCs/>
          <w:noProof/>
          <w:sz w:val="20"/>
          <w:szCs w:val="20"/>
        </w:rPr>
      </w:pPr>
      <w:r w:rsidRPr="00C306B3">
        <w:rPr>
          <w:rFonts w:ascii="Times New Roman" w:eastAsia="Malgun Gothic" w:hAnsi="Times New Roman" w:cs="Times New Roman"/>
          <w:b/>
          <w:bCs/>
          <w:noProof/>
          <w:sz w:val="20"/>
          <w:szCs w:val="20"/>
        </w:rPr>
        <w:t>Proposal 4: RAN4 to further discuss whether to define two types of TCI state list update delay requirement for sDCI and mDCI respectively, or just define a common one.</w:t>
      </w:r>
    </w:p>
    <w:p w14:paraId="315615BB" w14:textId="77777777" w:rsidR="0057215F" w:rsidRPr="00C306B3" w:rsidRDefault="0057215F" w:rsidP="0057215F">
      <w:pPr>
        <w:pStyle w:val="0Maintext"/>
        <w:spacing w:after="120" w:afterAutospacing="0" w:line="240" w:lineRule="auto"/>
        <w:ind w:firstLine="0"/>
        <w:rPr>
          <w:rFonts w:cs="Times New Roman"/>
          <w:b/>
          <w:bCs/>
          <w:lang w:val="en-US" w:eastAsia="zh-CN"/>
        </w:rPr>
      </w:pPr>
      <w:r w:rsidRPr="00C306B3">
        <w:rPr>
          <w:rFonts w:cs="Times New Roman"/>
          <w:b/>
          <w:bCs/>
          <w:lang w:val="en-US" w:eastAsia="zh-CN"/>
        </w:rPr>
        <w:t>Proposal 5: The total TCI activation delay for simultaneous reception is from UE receive the first MAC CE command to the time UE has finish two TCI states activation no matter whether the two TCI states are activated by one MAC CE or two MAC CEs.</w:t>
      </w:r>
    </w:p>
    <w:p w14:paraId="623A1014" w14:textId="77777777" w:rsidR="00B33BF4" w:rsidRPr="00C306B3" w:rsidRDefault="00B33BF4" w:rsidP="00B33BF4">
      <w:pPr>
        <w:pStyle w:val="Heading1"/>
        <w:numPr>
          <w:ilvl w:val="0"/>
          <w:numId w:val="1"/>
        </w:numPr>
        <w:rPr>
          <w:rFonts w:ascii="Times New Roman" w:hAnsi="Times New Roman"/>
        </w:rPr>
      </w:pPr>
      <w:r w:rsidRPr="00C306B3">
        <w:rPr>
          <w:rFonts w:ascii="Times New Roman" w:hAnsi="Times New Roman"/>
        </w:rPr>
        <w:t xml:space="preserve">Reference </w:t>
      </w:r>
    </w:p>
    <w:p w14:paraId="15034A38" w14:textId="77777777" w:rsidR="00B33BF4" w:rsidRPr="00C306B3" w:rsidRDefault="00B33BF4" w:rsidP="00B33BF4">
      <w:pPr>
        <w:rPr>
          <w:rFonts w:ascii="Times New Roman" w:hAnsi="Times New Roman"/>
          <w:sz w:val="20"/>
          <w:szCs w:val="20"/>
        </w:rPr>
      </w:pPr>
    </w:p>
    <w:p w14:paraId="10063B05" w14:textId="77777777" w:rsidR="00725BA3" w:rsidRPr="00C306B3" w:rsidRDefault="00725BA3">
      <w:pPr>
        <w:rPr>
          <w:rFonts w:ascii="Times New Roman" w:hAnsi="Times New Roman"/>
        </w:rPr>
      </w:pPr>
    </w:p>
    <w:sectPr w:rsidR="00725BA3" w:rsidRPr="00C306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8116" w14:textId="77777777" w:rsidR="00B621AE" w:rsidRDefault="00B621AE" w:rsidP="00E85E77">
      <w:pPr>
        <w:spacing w:after="0" w:line="240" w:lineRule="auto"/>
      </w:pPr>
      <w:r>
        <w:separator/>
      </w:r>
    </w:p>
  </w:endnote>
  <w:endnote w:type="continuationSeparator" w:id="0">
    <w:p w14:paraId="44155F41" w14:textId="77777777" w:rsidR="00B621AE" w:rsidRDefault="00B621AE" w:rsidP="00E85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4DBF6" w14:textId="77777777" w:rsidR="00B621AE" w:rsidRDefault="00B621AE" w:rsidP="00E85E77">
      <w:pPr>
        <w:spacing w:after="0" w:line="240" w:lineRule="auto"/>
      </w:pPr>
      <w:r>
        <w:separator/>
      </w:r>
    </w:p>
  </w:footnote>
  <w:footnote w:type="continuationSeparator" w:id="0">
    <w:p w14:paraId="67F28917" w14:textId="77777777" w:rsidR="00B621AE" w:rsidRDefault="00B621AE" w:rsidP="00E85E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9AF"/>
    <w:multiLevelType w:val="hybridMultilevel"/>
    <w:tmpl w:val="EB2A3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03BBF"/>
    <w:multiLevelType w:val="hybridMultilevel"/>
    <w:tmpl w:val="7358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51ACF"/>
    <w:multiLevelType w:val="hybridMultilevel"/>
    <w:tmpl w:val="FDBA5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542793"/>
    <w:multiLevelType w:val="hybridMultilevel"/>
    <w:tmpl w:val="6E4CF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1105D4"/>
    <w:multiLevelType w:val="hybridMultilevel"/>
    <w:tmpl w:val="1D28E34C"/>
    <w:lvl w:ilvl="0" w:tplc="22381244">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787A83"/>
    <w:multiLevelType w:val="hybridMultilevel"/>
    <w:tmpl w:val="3F562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20311"/>
    <w:multiLevelType w:val="hybridMultilevel"/>
    <w:tmpl w:val="DF6E229A"/>
    <w:lvl w:ilvl="0" w:tplc="05DAD2F6">
      <w:start w:val="1"/>
      <w:numFmt w:val="decimal"/>
      <w:lvlText w:val="%1."/>
      <w:lvlJc w:val="left"/>
      <w:pPr>
        <w:ind w:left="720" w:hanging="360"/>
      </w:pPr>
      <w:rPr>
        <w:rFonts w:ascii="Calibri" w:eastAsia="SimSun"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DC25B6"/>
    <w:multiLevelType w:val="hybridMultilevel"/>
    <w:tmpl w:val="B538B7C6"/>
    <w:lvl w:ilvl="0" w:tplc="7CC62E90">
      <w:start w:val="1"/>
      <w:numFmt w:val="decimal"/>
      <w:lvlText w:val="%1."/>
      <w:lvlJc w:val="left"/>
      <w:pPr>
        <w:ind w:left="720" w:hanging="360"/>
      </w:pPr>
      <w:rPr>
        <w:rFonts w:ascii="DengXian" w:eastAsia="DengXian" w:hAnsi="DengXian" w:hint="default"/>
        <w:color w:val="000000"/>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662DE"/>
    <w:multiLevelType w:val="hybridMultilevel"/>
    <w:tmpl w:val="3F5624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37D1D4C"/>
    <w:multiLevelType w:val="hybridMultilevel"/>
    <w:tmpl w:val="F586C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7182C"/>
    <w:multiLevelType w:val="hybridMultilevel"/>
    <w:tmpl w:val="3F562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6C7EBE3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4739BB"/>
    <w:multiLevelType w:val="hybridMultilevel"/>
    <w:tmpl w:val="BE4CEDA8"/>
    <w:lvl w:ilvl="0" w:tplc="D86EA3B4">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7CF4AE4"/>
    <w:multiLevelType w:val="hybridMultilevel"/>
    <w:tmpl w:val="3E48E35E"/>
    <w:lvl w:ilvl="0" w:tplc="EC60E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ECE6B4E"/>
    <w:multiLevelType w:val="hybridMultilevel"/>
    <w:tmpl w:val="3F562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4295173">
    <w:abstractNumId w:val="16"/>
  </w:num>
  <w:num w:numId="2" w16cid:durableId="1916893710">
    <w:abstractNumId w:val="3"/>
  </w:num>
  <w:num w:numId="3" w16cid:durableId="176621013">
    <w:abstractNumId w:val="1"/>
  </w:num>
  <w:num w:numId="4" w16cid:durableId="1264532467">
    <w:abstractNumId w:val="13"/>
  </w:num>
  <w:num w:numId="5" w16cid:durableId="2117290019">
    <w:abstractNumId w:val="0"/>
  </w:num>
  <w:num w:numId="6" w16cid:durableId="64844466">
    <w:abstractNumId w:val="7"/>
  </w:num>
  <w:num w:numId="7" w16cid:durableId="1505588341">
    <w:abstractNumId w:val="4"/>
  </w:num>
  <w:num w:numId="8" w16cid:durableId="876891268">
    <w:abstractNumId w:val="12"/>
  </w:num>
  <w:num w:numId="9" w16cid:durableId="858616392">
    <w:abstractNumId w:val="11"/>
  </w:num>
  <w:num w:numId="10" w16cid:durableId="1328903074">
    <w:abstractNumId w:val="2"/>
  </w:num>
  <w:num w:numId="11" w16cid:durableId="1895852783">
    <w:abstractNumId w:val="6"/>
  </w:num>
  <w:num w:numId="12" w16cid:durableId="1922716397">
    <w:abstractNumId w:val="10"/>
  </w:num>
  <w:num w:numId="13" w16cid:durableId="981037483">
    <w:abstractNumId w:val="9"/>
  </w:num>
  <w:num w:numId="14" w16cid:durableId="2003122529">
    <w:abstractNumId w:val="15"/>
  </w:num>
  <w:num w:numId="15" w16cid:durableId="1387680019">
    <w:abstractNumId w:val="5"/>
  </w:num>
  <w:num w:numId="16" w16cid:durableId="1726950401">
    <w:abstractNumId w:val="17"/>
  </w:num>
  <w:num w:numId="17" w16cid:durableId="2063401413">
    <w:abstractNumId w:val="14"/>
  </w:num>
  <w:num w:numId="18" w16cid:durableId="6303257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BF4"/>
    <w:rsid w:val="00007234"/>
    <w:rsid w:val="00007F48"/>
    <w:rsid w:val="000148FA"/>
    <w:rsid w:val="00021220"/>
    <w:rsid w:val="00021A81"/>
    <w:rsid w:val="0005303D"/>
    <w:rsid w:val="00060580"/>
    <w:rsid w:val="00065C22"/>
    <w:rsid w:val="000776C0"/>
    <w:rsid w:val="00080602"/>
    <w:rsid w:val="00086BC6"/>
    <w:rsid w:val="00087950"/>
    <w:rsid w:val="000970F9"/>
    <w:rsid w:val="00097ECB"/>
    <w:rsid w:val="000C4762"/>
    <w:rsid w:val="000E3E8E"/>
    <w:rsid w:val="001032E5"/>
    <w:rsid w:val="0013411F"/>
    <w:rsid w:val="00163DCD"/>
    <w:rsid w:val="001722FA"/>
    <w:rsid w:val="00177E72"/>
    <w:rsid w:val="00192AA7"/>
    <w:rsid w:val="00196E91"/>
    <w:rsid w:val="001A198E"/>
    <w:rsid w:val="001B5A92"/>
    <w:rsid w:val="001B6C89"/>
    <w:rsid w:val="001E79BD"/>
    <w:rsid w:val="00204CAA"/>
    <w:rsid w:val="002308EA"/>
    <w:rsid w:val="0024125D"/>
    <w:rsid w:val="00253C00"/>
    <w:rsid w:val="0026415F"/>
    <w:rsid w:val="00270113"/>
    <w:rsid w:val="002B1657"/>
    <w:rsid w:val="002C080B"/>
    <w:rsid w:val="002C6727"/>
    <w:rsid w:val="002D3F14"/>
    <w:rsid w:val="002F24D1"/>
    <w:rsid w:val="00315F76"/>
    <w:rsid w:val="00331B8D"/>
    <w:rsid w:val="0034147D"/>
    <w:rsid w:val="00395BF8"/>
    <w:rsid w:val="003A74A5"/>
    <w:rsid w:val="003C06BF"/>
    <w:rsid w:val="003D55F2"/>
    <w:rsid w:val="003E3D66"/>
    <w:rsid w:val="0040211B"/>
    <w:rsid w:val="00405D3E"/>
    <w:rsid w:val="00422DC5"/>
    <w:rsid w:val="004303E6"/>
    <w:rsid w:val="004308B0"/>
    <w:rsid w:val="00441031"/>
    <w:rsid w:val="0044405F"/>
    <w:rsid w:val="00450D9F"/>
    <w:rsid w:val="00452926"/>
    <w:rsid w:val="00494F79"/>
    <w:rsid w:val="004A0DD6"/>
    <w:rsid w:val="004B3352"/>
    <w:rsid w:val="004C6975"/>
    <w:rsid w:val="004D1D79"/>
    <w:rsid w:val="004D2EE0"/>
    <w:rsid w:val="004E4365"/>
    <w:rsid w:val="004F1E2A"/>
    <w:rsid w:val="004F491D"/>
    <w:rsid w:val="00507FDD"/>
    <w:rsid w:val="005104DD"/>
    <w:rsid w:val="00512E5F"/>
    <w:rsid w:val="00517B22"/>
    <w:rsid w:val="00533435"/>
    <w:rsid w:val="00545801"/>
    <w:rsid w:val="00546AA0"/>
    <w:rsid w:val="00547B1C"/>
    <w:rsid w:val="00557348"/>
    <w:rsid w:val="005639CE"/>
    <w:rsid w:val="0057215F"/>
    <w:rsid w:val="00582DF5"/>
    <w:rsid w:val="005918F2"/>
    <w:rsid w:val="005A08A3"/>
    <w:rsid w:val="005A1CBA"/>
    <w:rsid w:val="005B0F12"/>
    <w:rsid w:val="005D5341"/>
    <w:rsid w:val="005E60D9"/>
    <w:rsid w:val="005E687F"/>
    <w:rsid w:val="005F0234"/>
    <w:rsid w:val="006208AF"/>
    <w:rsid w:val="00640EBA"/>
    <w:rsid w:val="00651D9F"/>
    <w:rsid w:val="00653343"/>
    <w:rsid w:val="006653CD"/>
    <w:rsid w:val="006761AF"/>
    <w:rsid w:val="006A5EC4"/>
    <w:rsid w:val="006B4EC7"/>
    <w:rsid w:val="00703CDD"/>
    <w:rsid w:val="00705817"/>
    <w:rsid w:val="00716176"/>
    <w:rsid w:val="0072483E"/>
    <w:rsid w:val="00725BA3"/>
    <w:rsid w:val="0076338E"/>
    <w:rsid w:val="00791D52"/>
    <w:rsid w:val="007A0B2B"/>
    <w:rsid w:val="007A0DF5"/>
    <w:rsid w:val="007A764D"/>
    <w:rsid w:val="007B6608"/>
    <w:rsid w:val="007D5427"/>
    <w:rsid w:val="007F4F3E"/>
    <w:rsid w:val="007F50D1"/>
    <w:rsid w:val="0080058D"/>
    <w:rsid w:val="0082260A"/>
    <w:rsid w:val="00834838"/>
    <w:rsid w:val="008424E1"/>
    <w:rsid w:val="00845B69"/>
    <w:rsid w:val="00852070"/>
    <w:rsid w:val="00874174"/>
    <w:rsid w:val="00887E04"/>
    <w:rsid w:val="00894D67"/>
    <w:rsid w:val="008B71B7"/>
    <w:rsid w:val="008D2D72"/>
    <w:rsid w:val="008F63F3"/>
    <w:rsid w:val="0090380E"/>
    <w:rsid w:val="00920266"/>
    <w:rsid w:val="00925F9A"/>
    <w:rsid w:val="00927E4A"/>
    <w:rsid w:val="00937418"/>
    <w:rsid w:val="009414CA"/>
    <w:rsid w:val="009424C2"/>
    <w:rsid w:val="00962945"/>
    <w:rsid w:val="00977D34"/>
    <w:rsid w:val="0099334F"/>
    <w:rsid w:val="009A1E7A"/>
    <w:rsid w:val="009B2783"/>
    <w:rsid w:val="009C006A"/>
    <w:rsid w:val="009D6DF2"/>
    <w:rsid w:val="00A05992"/>
    <w:rsid w:val="00A22591"/>
    <w:rsid w:val="00A23E24"/>
    <w:rsid w:val="00A359AE"/>
    <w:rsid w:val="00A42955"/>
    <w:rsid w:val="00A44548"/>
    <w:rsid w:val="00A75CA9"/>
    <w:rsid w:val="00A90DE2"/>
    <w:rsid w:val="00AC12BF"/>
    <w:rsid w:val="00AC59CF"/>
    <w:rsid w:val="00AC796E"/>
    <w:rsid w:val="00AF569B"/>
    <w:rsid w:val="00B0695D"/>
    <w:rsid w:val="00B241B5"/>
    <w:rsid w:val="00B24B81"/>
    <w:rsid w:val="00B336DB"/>
    <w:rsid w:val="00B33BF4"/>
    <w:rsid w:val="00B34210"/>
    <w:rsid w:val="00B47D3F"/>
    <w:rsid w:val="00B5540E"/>
    <w:rsid w:val="00B621AE"/>
    <w:rsid w:val="00B735F2"/>
    <w:rsid w:val="00B832B2"/>
    <w:rsid w:val="00B93030"/>
    <w:rsid w:val="00B959C4"/>
    <w:rsid w:val="00BB0EFB"/>
    <w:rsid w:val="00BC15B4"/>
    <w:rsid w:val="00BE12D2"/>
    <w:rsid w:val="00BE5398"/>
    <w:rsid w:val="00C10BB4"/>
    <w:rsid w:val="00C16F18"/>
    <w:rsid w:val="00C23D38"/>
    <w:rsid w:val="00C306B3"/>
    <w:rsid w:val="00C40AEB"/>
    <w:rsid w:val="00C7784B"/>
    <w:rsid w:val="00C81D75"/>
    <w:rsid w:val="00C87567"/>
    <w:rsid w:val="00C90B4D"/>
    <w:rsid w:val="00CD4C85"/>
    <w:rsid w:val="00CD79BB"/>
    <w:rsid w:val="00CE4E61"/>
    <w:rsid w:val="00CF294A"/>
    <w:rsid w:val="00D16453"/>
    <w:rsid w:val="00D2583A"/>
    <w:rsid w:val="00D25AA8"/>
    <w:rsid w:val="00D63E55"/>
    <w:rsid w:val="00D73E16"/>
    <w:rsid w:val="00D82A2A"/>
    <w:rsid w:val="00DC3C1E"/>
    <w:rsid w:val="00DC678C"/>
    <w:rsid w:val="00DC7115"/>
    <w:rsid w:val="00DC7AE4"/>
    <w:rsid w:val="00DF0978"/>
    <w:rsid w:val="00DF0A46"/>
    <w:rsid w:val="00E02007"/>
    <w:rsid w:val="00E0311F"/>
    <w:rsid w:val="00E22227"/>
    <w:rsid w:val="00E3557D"/>
    <w:rsid w:val="00E424C2"/>
    <w:rsid w:val="00E46CF0"/>
    <w:rsid w:val="00E51652"/>
    <w:rsid w:val="00E65B35"/>
    <w:rsid w:val="00E82A60"/>
    <w:rsid w:val="00E85E77"/>
    <w:rsid w:val="00EC5FA6"/>
    <w:rsid w:val="00ED066D"/>
    <w:rsid w:val="00EE36CD"/>
    <w:rsid w:val="00EE40F7"/>
    <w:rsid w:val="00EE4BC4"/>
    <w:rsid w:val="00EF2DF6"/>
    <w:rsid w:val="00EF4578"/>
    <w:rsid w:val="00F05F7B"/>
    <w:rsid w:val="00F4386C"/>
    <w:rsid w:val="00F60D44"/>
    <w:rsid w:val="00F61616"/>
    <w:rsid w:val="00F62955"/>
    <w:rsid w:val="00FB58A3"/>
    <w:rsid w:val="00FB5D02"/>
    <w:rsid w:val="00FD0807"/>
    <w:rsid w:val="00FD5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33EB4"/>
  <w15:chartTrackingRefBased/>
  <w15:docId w15:val="{BFE6CB19-58B5-4998-84B7-822B706C8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BF4"/>
    <w:pPr>
      <w:spacing w:after="200" w:line="276" w:lineRule="auto"/>
    </w:pPr>
    <w:rPr>
      <w:rFonts w:ascii="Calibri" w:eastAsia="SimSun" w:hAnsi="Calibri" w:cs="Times New Roman"/>
      <w:lang w:eastAsia="zh-CN"/>
    </w:rPr>
  </w:style>
  <w:style w:type="paragraph" w:styleId="Heading1">
    <w:name w:val="heading 1"/>
    <w:aliases w:val="H1,h1,Heading 1 3GPP"/>
    <w:next w:val="Normal"/>
    <w:link w:val="Heading1Char"/>
    <w:qFormat/>
    <w:rsid w:val="00B33B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0072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24B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412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B33BF4"/>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B33BF4"/>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3BF4"/>
    <w:rPr>
      <w:rFonts w:ascii="Times New Roman" w:eastAsia="MS Mincho" w:hAnsi="Times New Roman" w:cs="Times New Roman"/>
      <w:sz w:val="20"/>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33BF4"/>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B33BF4"/>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B33BF4"/>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33BF4"/>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B33BF4"/>
    <w:rPr>
      <w:rFonts w:ascii="Arial" w:eastAsiaTheme="minorEastAsia" w:hAnsi="Arial" w:cs="Times New Roman"/>
      <w:sz w:val="20"/>
      <w:szCs w:val="20"/>
      <w:lang w:val="en-GB"/>
    </w:rPr>
  </w:style>
  <w:style w:type="paragraph" w:customStyle="1" w:styleId="0Maintext">
    <w:name w:val="0 Main text"/>
    <w:basedOn w:val="Normal"/>
    <w:link w:val="0MaintextChar"/>
    <w:qFormat/>
    <w:rsid w:val="00B33BF4"/>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B33BF4"/>
    <w:rPr>
      <w:rFonts w:ascii="Times New Roman" w:eastAsia="Times New Roman" w:hAnsi="Times New Roman" w:cs="Batang"/>
      <w:sz w:val="20"/>
      <w:szCs w:val="20"/>
      <w:lang w:val="en-GB"/>
    </w:rPr>
  </w:style>
  <w:style w:type="character" w:customStyle="1" w:styleId="Heading2Char">
    <w:name w:val="Heading 2 Char"/>
    <w:basedOn w:val="DefaultParagraphFont"/>
    <w:link w:val="Heading2"/>
    <w:uiPriority w:val="9"/>
    <w:rsid w:val="00007234"/>
    <w:rPr>
      <w:rFonts w:asciiTheme="majorHAnsi" w:eastAsiaTheme="majorEastAsia" w:hAnsiTheme="majorHAnsi" w:cstheme="majorBidi"/>
      <w:color w:val="2F5496" w:themeColor="accent1" w:themeShade="BF"/>
      <w:sz w:val="26"/>
      <w:szCs w:val="26"/>
      <w:lang w:eastAsia="zh-CN"/>
    </w:rPr>
  </w:style>
  <w:style w:type="character" w:customStyle="1" w:styleId="Heading3Char">
    <w:name w:val="Heading 3 Char"/>
    <w:basedOn w:val="DefaultParagraphFont"/>
    <w:link w:val="Heading3"/>
    <w:uiPriority w:val="9"/>
    <w:rsid w:val="00B24B81"/>
    <w:rPr>
      <w:rFonts w:asciiTheme="majorHAnsi" w:eastAsiaTheme="majorEastAsia" w:hAnsiTheme="majorHAnsi" w:cstheme="majorBidi"/>
      <w:color w:val="1F3763" w:themeColor="accent1" w:themeShade="7F"/>
      <w:sz w:val="24"/>
      <w:szCs w:val="24"/>
      <w:lang w:eastAsia="zh-CN"/>
    </w:rPr>
  </w:style>
  <w:style w:type="paragraph" w:styleId="BodyText">
    <w:name w:val="Body Text"/>
    <w:basedOn w:val="Normal"/>
    <w:link w:val="BodyTextChar"/>
    <w:uiPriority w:val="99"/>
    <w:unhideWhenUsed/>
    <w:rsid w:val="00653343"/>
    <w:pPr>
      <w:spacing w:after="120" w:line="259" w:lineRule="auto"/>
    </w:pPr>
    <w:rPr>
      <w:rFonts w:asciiTheme="minorHAnsi" w:hAnsiTheme="minorHAnsi" w:cstheme="minorBidi"/>
      <w:lang w:eastAsia="en-US"/>
    </w:rPr>
  </w:style>
  <w:style w:type="character" w:customStyle="1" w:styleId="BodyTextChar">
    <w:name w:val="Body Text Char"/>
    <w:basedOn w:val="DefaultParagraphFont"/>
    <w:link w:val="BodyText"/>
    <w:uiPriority w:val="99"/>
    <w:rsid w:val="00653343"/>
    <w:rPr>
      <w:rFonts w:eastAsia="SimSun"/>
    </w:rPr>
  </w:style>
  <w:style w:type="paragraph" w:customStyle="1" w:styleId="TH">
    <w:name w:val="TH"/>
    <w:basedOn w:val="Normal"/>
    <w:link w:val="THChar"/>
    <w:qFormat/>
    <w:rsid w:val="0024125D"/>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eastAsia="ja-JP"/>
    </w:rPr>
  </w:style>
  <w:style w:type="paragraph" w:customStyle="1" w:styleId="TF">
    <w:name w:val="TF"/>
    <w:basedOn w:val="TH"/>
    <w:link w:val="TFChar"/>
    <w:qFormat/>
    <w:rsid w:val="0024125D"/>
    <w:pPr>
      <w:keepNext w:val="0"/>
      <w:spacing w:before="0" w:after="240"/>
    </w:pPr>
  </w:style>
  <w:style w:type="character" w:customStyle="1" w:styleId="THChar">
    <w:name w:val="TH Char"/>
    <w:link w:val="TH"/>
    <w:qFormat/>
    <w:rsid w:val="0024125D"/>
    <w:rPr>
      <w:rFonts w:ascii="Arial" w:eastAsia="Times New Roman" w:hAnsi="Arial" w:cs="Times New Roman"/>
      <w:b/>
      <w:sz w:val="20"/>
      <w:szCs w:val="20"/>
      <w:lang w:val="en-GB" w:eastAsia="ja-JP"/>
    </w:rPr>
  </w:style>
  <w:style w:type="character" w:customStyle="1" w:styleId="TFChar">
    <w:name w:val="TF Char"/>
    <w:link w:val="TF"/>
    <w:qFormat/>
    <w:rsid w:val="0024125D"/>
    <w:rPr>
      <w:rFonts w:ascii="Arial" w:eastAsia="Times New Roman" w:hAnsi="Arial" w:cs="Times New Roman"/>
      <w:b/>
      <w:sz w:val="20"/>
      <w:szCs w:val="20"/>
      <w:lang w:val="en-GB" w:eastAsia="ja-JP"/>
    </w:rPr>
  </w:style>
  <w:style w:type="character" w:customStyle="1" w:styleId="Heading4Char">
    <w:name w:val="Heading 4 Char"/>
    <w:basedOn w:val="DefaultParagraphFont"/>
    <w:link w:val="Heading4"/>
    <w:uiPriority w:val="9"/>
    <w:semiHidden/>
    <w:rsid w:val="0024125D"/>
    <w:rPr>
      <w:rFonts w:asciiTheme="majorHAnsi" w:eastAsiaTheme="majorEastAsia" w:hAnsiTheme="majorHAnsi" w:cstheme="majorBidi"/>
      <w:i/>
      <w:iCs/>
      <w:color w:val="2F5496" w:themeColor="accent1" w:themeShade="BF"/>
      <w:lang w:eastAsia="zh-CN"/>
    </w:rPr>
  </w:style>
  <w:style w:type="character" w:customStyle="1" w:styleId="ZGSM">
    <w:name w:val="ZGSM"/>
    <w:rsid w:val="00834838"/>
  </w:style>
  <w:style w:type="paragraph" w:styleId="Footer">
    <w:name w:val="footer"/>
    <w:basedOn w:val="Normal"/>
    <w:link w:val="FooterChar"/>
    <w:uiPriority w:val="99"/>
    <w:unhideWhenUsed/>
    <w:rsid w:val="00E85E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5E77"/>
    <w:rPr>
      <w:rFonts w:ascii="Calibri" w:eastAsia="SimSu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7</cp:revision>
  <dcterms:created xsi:type="dcterms:W3CDTF">2023-04-04T11:57:00Z</dcterms:created>
  <dcterms:modified xsi:type="dcterms:W3CDTF">2023-04-10T12:33:00Z</dcterms:modified>
</cp:coreProperties>
</file>